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FE9A" w14:textId="5E503AFD" w:rsidR="00025909" w:rsidRPr="00025909" w:rsidRDefault="00025909" w:rsidP="00025909">
      <w:pPr>
        <w:pStyle w:val="Loendilik"/>
        <w:numPr>
          <w:ilvl w:val="0"/>
          <w:numId w:val="1"/>
        </w:numPr>
        <w:jc w:val="both"/>
        <w:rPr>
          <w:rFonts w:ascii="Times New Roman" w:hAnsi="Times New Roman" w:cs="Times New Roman"/>
          <w:sz w:val="24"/>
          <w:szCs w:val="24"/>
        </w:rPr>
      </w:pPr>
      <w:r w:rsidRPr="00025909">
        <w:rPr>
          <w:rFonts w:ascii="Times New Roman" w:hAnsi="Times New Roman" w:cs="Times New Roman"/>
          <w:b/>
          <w:bCs/>
          <w:sz w:val="24"/>
          <w:szCs w:val="24"/>
        </w:rPr>
        <w:t xml:space="preserve">p. 27 </w:t>
      </w:r>
    </w:p>
    <w:p w14:paraId="3AD5FE1A" w14:textId="77777777" w:rsidR="00025909" w:rsidRPr="00025909" w:rsidRDefault="00025909" w:rsidP="00025909">
      <w:pPr>
        <w:jc w:val="both"/>
        <w:rPr>
          <w:rFonts w:ascii="Times New Roman" w:hAnsi="Times New Roman" w:cs="Times New Roman"/>
          <w:sz w:val="24"/>
          <w:szCs w:val="24"/>
        </w:rPr>
      </w:pPr>
    </w:p>
    <w:p w14:paraId="7AD0A9D9" w14:textId="24154DD8" w:rsidR="00025909" w:rsidRPr="00025909" w:rsidRDefault="00025909" w:rsidP="00025909">
      <w:pPr>
        <w:pStyle w:val="Kehatekst"/>
        <w:spacing w:after="0" w:line="240" w:lineRule="auto"/>
        <w:rPr>
          <w:rFonts w:cs="Times New Roman"/>
        </w:rPr>
      </w:pPr>
      <w:r w:rsidRPr="00025909">
        <w:rPr>
          <w:rFonts w:cs="Times New Roman"/>
          <w:b/>
          <w:bCs/>
        </w:rPr>
        <w:t>27)</w:t>
      </w:r>
      <w:r w:rsidRPr="00025909">
        <w:rPr>
          <w:rFonts w:cs="Times New Roman"/>
        </w:rPr>
        <w:t xml:space="preserve"> paragrahvi 74 lõigetes 1 ja 2 asendatakse sõnad „vähemalt ühes üleriigilise levikuga päevalehes“ sõnadega „võrguettevõtja veebilehel“</w:t>
      </w:r>
    </w:p>
    <w:p w14:paraId="4920D943" w14:textId="77777777" w:rsidR="00025909" w:rsidRDefault="00025909" w:rsidP="00025909">
      <w:pPr>
        <w:jc w:val="both"/>
        <w:rPr>
          <w:rFonts w:ascii="Times New Roman" w:hAnsi="Times New Roman" w:cs="Times New Roman"/>
          <w:sz w:val="24"/>
          <w:szCs w:val="24"/>
        </w:rPr>
      </w:pPr>
    </w:p>
    <w:p w14:paraId="4256C8A4" w14:textId="3D1C382F" w:rsidR="006C308C" w:rsidRDefault="00D70552" w:rsidP="00025909">
      <w:pPr>
        <w:jc w:val="both"/>
        <w:rPr>
          <w:rFonts w:ascii="Times New Roman" w:hAnsi="Times New Roman" w:cs="Times New Roman"/>
          <w:sz w:val="24"/>
          <w:szCs w:val="24"/>
        </w:rPr>
      </w:pPr>
      <w:r>
        <w:rPr>
          <w:rFonts w:ascii="Times New Roman" w:hAnsi="Times New Roman" w:cs="Times New Roman"/>
          <w:sz w:val="24"/>
          <w:szCs w:val="24"/>
        </w:rPr>
        <w:t>TTJA-</w:t>
      </w:r>
      <w:proofErr w:type="spellStart"/>
      <w:r>
        <w:rPr>
          <w:rFonts w:ascii="Times New Roman" w:hAnsi="Times New Roman" w:cs="Times New Roman"/>
          <w:sz w:val="24"/>
          <w:szCs w:val="24"/>
        </w:rPr>
        <w:t>le</w:t>
      </w:r>
      <w:proofErr w:type="spellEnd"/>
      <w:r>
        <w:rPr>
          <w:rFonts w:ascii="Times New Roman" w:hAnsi="Times New Roman" w:cs="Times New Roman"/>
          <w:sz w:val="24"/>
          <w:szCs w:val="24"/>
        </w:rPr>
        <w:t xml:space="preserve"> pole teada põhjused, miks peetakse üleriigilise levikuga päevalehes teavitamist aegunuks. </w:t>
      </w:r>
      <w:r w:rsidR="00025909" w:rsidRPr="00025909">
        <w:rPr>
          <w:rFonts w:ascii="Times New Roman" w:hAnsi="Times New Roman" w:cs="Times New Roman"/>
          <w:sz w:val="24"/>
          <w:szCs w:val="24"/>
        </w:rPr>
        <w:t>Märgime, et tarbijad ei jälgi ega peagi jälgima erinevate teenuse pakkujate veebilehti, et saada teavet sõlmitud lepinguga seotud muudatustest ning kuna p</w:t>
      </w:r>
      <w:r>
        <w:rPr>
          <w:rFonts w:ascii="Times New Roman" w:hAnsi="Times New Roman" w:cs="Times New Roman"/>
          <w:sz w:val="24"/>
          <w:szCs w:val="24"/>
        </w:rPr>
        <w:t>äevalehti</w:t>
      </w:r>
      <w:r w:rsidR="00025909" w:rsidRPr="00025909">
        <w:rPr>
          <w:rFonts w:ascii="Times New Roman" w:hAnsi="Times New Roman" w:cs="Times New Roman"/>
          <w:sz w:val="24"/>
          <w:szCs w:val="24"/>
        </w:rPr>
        <w:t xml:space="preserve"> ikkagi </w:t>
      </w:r>
      <w:r w:rsidR="00025909">
        <w:rPr>
          <w:rFonts w:ascii="Times New Roman" w:hAnsi="Times New Roman" w:cs="Times New Roman"/>
          <w:sz w:val="24"/>
          <w:szCs w:val="24"/>
        </w:rPr>
        <w:t xml:space="preserve">veel </w:t>
      </w:r>
      <w:r w:rsidR="00025909" w:rsidRPr="00025909">
        <w:rPr>
          <w:rFonts w:ascii="Times New Roman" w:hAnsi="Times New Roman" w:cs="Times New Roman"/>
          <w:sz w:val="24"/>
          <w:szCs w:val="24"/>
        </w:rPr>
        <w:t xml:space="preserve">loetakse, võib muudatus vähendada tarbijate informeeritust. </w:t>
      </w:r>
      <w:r w:rsidR="007E1FAD">
        <w:rPr>
          <w:rFonts w:ascii="Times New Roman" w:hAnsi="Times New Roman" w:cs="Times New Roman"/>
          <w:sz w:val="24"/>
          <w:szCs w:val="24"/>
        </w:rPr>
        <w:t>Teisalt</w:t>
      </w:r>
      <w:r w:rsidR="00025909" w:rsidRPr="00025909">
        <w:rPr>
          <w:rFonts w:ascii="Times New Roman" w:hAnsi="Times New Roman" w:cs="Times New Roman"/>
          <w:sz w:val="24"/>
          <w:szCs w:val="24"/>
        </w:rPr>
        <w:t>, ELTS § 89 reguleerib võrguettevõtja poolt lepingutingimuste muutmist ja sellest tarbijate personaalselt teavitamist, kuid</w:t>
      </w:r>
      <w:r>
        <w:rPr>
          <w:rFonts w:ascii="Times New Roman" w:hAnsi="Times New Roman" w:cs="Times New Roman"/>
          <w:sz w:val="24"/>
          <w:szCs w:val="24"/>
        </w:rPr>
        <w:t xml:space="preserve"> praeguses sõnastuses</w:t>
      </w:r>
      <w:r w:rsidR="00025909" w:rsidRPr="00025909">
        <w:rPr>
          <w:rFonts w:ascii="Times New Roman" w:hAnsi="Times New Roman" w:cs="Times New Roman"/>
          <w:sz w:val="24"/>
          <w:szCs w:val="24"/>
        </w:rPr>
        <w:t xml:space="preserve"> </w:t>
      </w:r>
      <w:r w:rsidR="00633FA4">
        <w:rPr>
          <w:rFonts w:ascii="Times New Roman" w:hAnsi="Times New Roman" w:cs="Times New Roman"/>
          <w:sz w:val="24"/>
          <w:szCs w:val="24"/>
        </w:rPr>
        <w:t xml:space="preserve">võib </w:t>
      </w:r>
      <w:r w:rsidR="00025909" w:rsidRPr="00025909">
        <w:rPr>
          <w:rFonts w:ascii="Times New Roman" w:hAnsi="Times New Roman" w:cs="Times New Roman"/>
          <w:sz w:val="24"/>
          <w:szCs w:val="24"/>
        </w:rPr>
        <w:t>jää</w:t>
      </w:r>
      <w:r w:rsidR="00633FA4">
        <w:rPr>
          <w:rFonts w:ascii="Times New Roman" w:hAnsi="Times New Roman" w:cs="Times New Roman"/>
          <w:sz w:val="24"/>
          <w:szCs w:val="24"/>
        </w:rPr>
        <w:t>da</w:t>
      </w:r>
      <w:r w:rsidR="00025909" w:rsidRPr="00025909">
        <w:rPr>
          <w:rFonts w:ascii="Times New Roman" w:hAnsi="Times New Roman" w:cs="Times New Roman"/>
          <w:sz w:val="24"/>
          <w:szCs w:val="24"/>
        </w:rPr>
        <w:t xml:space="preserve"> </w:t>
      </w:r>
      <w:r>
        <w:rPr>
          <w:rFonts w:ascii="Times New Roman" w:hAnsi="Times New Roman" w:cs="Times New Roman"/>
          <w:sz w:val="24"/>
          <w:szCs w:val="24"/>
        </w:rPr>
        <w:t>ebaselgeks</w:t>
      </w:r>
      <w:r w:rsidR="00025909" w:rsidRPr="00025909">
        <w:rPr>
          <w:rFonts w:ascii="Times New Roman" w:hAnsi="Times New Roman" w:cs="Times New Roman"/>
          <w:sz w:val="24"/>
          <w:szCs w:val="24"/>
        </w:rPr>
        <w:t>, kas § 89 hõlmab (kuigi lg 2 viitab võrgutasudele) ka võrgutasude muutmisest teavitamist.</w:t>
      </w:r>
      <w:r>
        <w:rPr>
          <w:rFonts w:ascii="Times New Roman" w:hAnsi="Times New Roman" w:cs="Times New Roman"/>
          <w:sz w:val="24"/>
          <w:szCs w:val="24"/>
        </w:rPr>
        <w:t xml:space="preserve"> Kuivõrd</w:t>
      </w:r>
      <w:r w:rsidR="00633FA4">
        <w:rPr>
          <w:rFonts w:ascii="Times New Roman" w:hAnsi="Times New Roman" w:cs="Times New Roman"/>
          <w:sz w:val="24"/>
          <w:szCs w:val="24"/>
        </w:rPr>
        <w:t xml:space="preserve"> võrgutasud on lepingu osaks, siis TTJA eeldab, et hõlmab, kuid</w:t>
      </w:r>
      <w:r>
        <w:rPr>
          <w:rFonts w:ascii="Times New Roman" w:hAnsi="Times New Roman" w:cs="Times New Roman"/>
          <w:sz w:val="24"/>
          <w:szCs w:val="24"/>
        </w:rPr>
        <w:t xml:space="preserve"> </w:t>
      </w:r>
      <w:r w:rsidR="00633FA4">
        <w:rPr>
          <w:rFonts w:ascii="Times New Roman" w:hAnsi="Times New Roman" w:cs="Times New Roman"/>
          <w:sz w:val="24"/>
          <w:szCs w:val="24"/>
        </w:rPr>
        <w:t>s</w:t>
      </w:r>
      <w:r>
        <w:rPr>
          <w:rFonts w:ascii="Times New Roman" w:hAnsi="Times New Roman" w:cs="Times New Roman"/>
          <w:sz w:val="24"/>
          <w:szCs w:val="24"/>
        </w:rPr>
        <w:t xml:space="preserve">ee võiks olla selgemalt välja toodud. </w:t>
      </w:r>
      <w:r w:rsidR="00025909">
        <w:rPr>
          <w:rFonts w:ascii="Times New Roman" w:hAnsi="Times New Roman" w:cs="Times New Roman"/>
          <w:sz w:val="24"/>
          <w:szCs w:val="24"/>
        </w:rPr>
        <w:t xml:space="preserve">Kui hõlmab, siis </w:t>
      </w:r>
      <w:r w:rsidR="00633FA4">
        <w:rPr>
          <w:rFonts w:ascii="Times New Roman" w:hAnsi="Times New Roman" w:cs="Times New Roman"/>
          <w:sz w:val="24"/>
          <w:szCs w:val="24"/>
        </w:rPr>
        <w:t>võib</w:t>
      </w:r>
      <w:r w:rsidR="00025909">
        <w:rPr>
          <w:rFonts w:ascii="Times New Roman" w:hAnsi="Times New Roman" w:cs="Times New Roman"/>
          <w:sz w:val="24"/>
          <w:szCs w:val="24"/>
        </w:rPr>
        <w:t xml:space="preserve"> </w:t>
      </w:r>
      <w:r w:rsidR="00025909" w:rsidRPr="00025909">
        <w:rPr>
          <w:rFonts w:ascii="Times New Roman" w:hAnsi="Times New Roman" w:cs="Times New Roman"/>
          <w:sz w:val="24"/>
          <w:szCs w:val="24"/>
        </w:rPr>
        <w:t>ELTS § 74 lg-te 1 ja 2 muudatus</w:t>
      </w:r>
      <w:r w:rsidR="00633FA4">
        <w:rPr>
          <w:rFonts w:ascii="Times New Roman" w:hAnsi="Times New Roman" w:cs="Times New Roman"/>
          <w:sz w:val="24"/>
          <w:szCs w:val="24"/>
        </w:rPr>
        <w:t>t pidada</w:t>
      </w:r>
      <w:r w:rsidR="00025909" w:rsidRPr="00025909">
        <w:rPr>
          <w:rFonts w:ascii="Times New Roman" w:hAnsi="Times New Roman" w:cs="Times New Roman"/>
          <w:sz w:val="24"/>
          <w:szCs w:val="24"/>
        </w:rPr>
        <w:t xml:space="preserve"> sobiv</w:t>
      </w:r>
      <w:r w:rsidR="00633FA4">
        <w:rPr>
          <w:rFonts w:ascii="Times New Roman" w:hAnsi="Times New Roman" w:cs="Times New Roman"/>
          <w:sz w:val="24"/>
          <w:szCs w:val="24"/>
        </w:rPr>
        <w:t>aks</w:t>
      </w:r>
      <w:r w:rsidR="00025909" w:rsidRPr="00025909">
        <w:rPr>
          <w:rFonts w:ascii="Times New Roman" w:hAnsi="Times New Roman" w:cs="Times New Roman"/>
          <w:sz w:val="24"/>
          <w:szCs w:val="24"/>
        </w:rPr>
        <w:t>, kui</w:t>
      </w:r>
      <w:r w:rsidR="00633FA4">
        <w:rPr>
          <w:rFonts w:ascii="Times New Roman" w:hAnsi="Times New Roman" w:cs="Times New Roman"/>
          <w:sz w:val="24"/>
          <w:szCs w:val="24"/>
        </w:rPr>
        <w:t xml:space="preserve"> päevalehes teavitamist saab</w:t>
      </w:r>
      <w:r w:rsidR="006C308C">
        <w:rPr>
          <w:rFonts w:ascii="Times New Roman" w:hAnsi="Times New Roman" w:cs="Times New Roman"/>
          <w:sz w:val="24"/>
          <w:szCs w:val="24"/>
        </w:rPr>
        <w:t xml:space="preserve"> </w:t>
      </w:r>
      <w:proofErr w:type="spellStart"/>
      <w:r w:rsidR="00D02643">
        <w:rPr>
          <w:rFonts w:ascii="Times New Roman" w:hAnsi="Times New Roman" w:cs="Times New Roman"/>
          <w:sz w:val="24"/>
          <w:szCs w:val="24"/>
        </w:rPr>
        <w:t>tõepoolest</w:t>
      </w:r>
      <w:proofErr w:type="spellEnd"/>
      <w:r w:rsidR="00D02643">
        <w:rPr>
          <w:rFonts w:ascii="Times New Roman" w:hAnsi="Times New Roman" w:cs="Times New Roman"/>
          <w:sz w:val="24"/>
          <w:szCs w:val="24"/>
        </w:rPr>
        <w:t xml:space="preserve"> </w:t>
      </w:r>
      <w:r w:rsidR="006C308C">
        <w:rPr>
          <w:rFonts w:ascii="Times New Roman" w:hAnsi="Times New Roman" w:cs="Times New Roman"/>
          <w:sz w:val="24"/>
          <w:szCs w:val="24"/>
        </w:rPr>
        <w:t>vastavatel asjaoludel</w:t>
      </w:r>
      <w:r w:rsidR="00633FA4">
        <w:rPr>
          <w:rFonts w:ascii="Times New Roman" w:hAnsi="Times New Roman" w:cs="Times New Roman"/>
          <w:sz w:val="24"/>
          <w:szCs w:val="24"/>
        </w:rPr>
        <w:t xml:space="preserve"> pidada aegunuks ning see ei täida enam oma eesmärki.</w:t>
      </w:r>
      <w:r w:rsidR="006C308C">
        <w:rPr>
          <w:rFonts w:ascii="Times New Roman" w:hAnsi="Times New Roman" w:cs="Times New Roman"/>
          <w:sz w:val="24"/>
          <w:szCs w:val="24"/>
        </w:rPr>
        <w:t xml:space="preserve"> </w:t>
      </w:r>
    </w:p>
    <w:p w14:paraId="642A6D00" w14:textId="77777777" w:rsidR="006C308C" w:rsidRDefault="006C308C" w:rsidP="00025909">
      <w:pPr>
        <w:jc w:val="both"/>
        <w:rPr>
          <w:rFonts w:ascii="Times New Roman" w:hAnsi="Times New Roman" w:cs="Times New Roman"/>
          <w:sz w:val="24"/>
          <w:szCs w:val="24"/>
        </w:rPr>
      </w:pPr>
    </w:p>
    <w:p w14:paraId="7B399B80" w14:textId="071398E5" w:rsidR="00025909" w:rsidRDefault="006C308C" w:rsidP="00025909">
      <w:pPr>
        <w:jc w:val="both"/>
        <w:rPr>
          <w:rFonts w:ascii="Times New Roman" w:hAnsi="Times New Roman" w:cs="Times New Roman"/>
          <w:sz w:val="24"/>
          <w:szCs w:val="24"/>
        </w:rPr>
      </w:pPr>
      <w:r>
        <w:rPr>
          <w:rFonts w:ascii="Times New Roman" w:hAnsi="Times New Roman" w:cs="Times New Roman"/>
          <w:sz w:val="24"/>
          <w:szCs w:val="24"/>
        </w:rPr>
        <w:t>Tarbija vaates on igal juhul</w:t>
      </w:r>
      <w:r w:rsidR="00025909">
        <w:rPr>
          <w:rFonts w:ascii="Times New Roman" w:hAnsi="Times New Roman" w:cs="Times New Roman"/>
          <w:sz w:val="24"/>
          <w:szCs w:val="24"/>
        </w:rPr>
        <w:t xml:space="preserve"> oluline, et tarbija saaks lepingu tingimuste, sh võrgutasude muudatuste kohta, personaalse teate, et olla kursis oma võrgulepingu tingimustega. </w:t>
      </w:r>
      <w:r w:rsidR="00025909" w:rsidRPr="00A10913">
        <w:rPr>
          <w:rFonts w:ascii="Times New Roman" w:hAnsi="Times New Roman" w:cs="Times New Roman"/>
          <w:sz w:val="24"/>
          <w:szCs w:val="24"/>
        </w:rPr>
        <w:t xml:space="preserve">Võrgutasude muudatustest personaalse teavitamise kohustuse puudumisel </w:t>
      </w:r>
      <w:r>
        <w:rPr>
          <w:rFonts w:ascii="Times New Roman" w:hAnsi="Times New Roman" w:cs="Times New Roman"/>
          <w:sz w:val="24"/>
          <w:szCs w:val="24"/>
        </w:rPr>
        <w:t xml:space="preserve">tuleks </w:t>
      </w:r>
      <w:r w:rsidR="00025909" w:rsidRPr="00A10913">
        <w:rPr>
          <w:rFonts w:ascii="Times New Roman" w:hAnsi="Times New Roman" w:cs="Times New Roman"/>
          <w:sz w:val="24"/>
          <w:szCs w:val="24"/>
        </w:rPr>
        <w:t xml:space="preserve">vastav kohustus </w:t>
      </w:r>
      <w:proofErr w:type="spellStart"/>
      <w:r w:rsidR="00025909" w:rsidRPr="00A10913">
        <w:rPr>
          <w:rFonts w:ascii="Times New Roman" w:hAnsi="Times New Roman" w:cs="Times New Roman"/>
          <w:sz w:val="24"/>
          <w:szCs w:val="24"/>
        </w:rPr>
        <w:t>ELTS-i</w:t>
      </w:r>
      <w:proofErr w:type="spellEnd"/>
      <w:r w:rsidR="00025909" w:rsidRPr="00A10913">
        <w:rPr>
          <w:rFonts w:ascii="Times New Roman" w:hAnsi="Times New Roman" w:cs="Times New Roman"/>
          <w:sz w:val="24"/>
          <w:szCs w:val="24"/>
        </w:rPr>
        <w:t xml:space="preserve"> </w:t>
      </w:r>
      <w:r>
        <w:rPr>
          <w:rFonts w:ascii="Times New Roman" w:hAnsi="Times New Roman" w:cs="Times New Roman"/>
          <w:sz w:val="24"/>
          <w:szCs w:val="24"/>
        </w:rPr>
        <w:t xml:space="preserve">sisse </w:t>
      </w:r>
      <w:r w:rsidR="00025909" w:rsidRPr="00A10913">
        <w:rPr>
          <w:rFonts w:ascii="Times New Roman" w:hAnsi="Times New Roman" w:cs="Times New Roman"/>
          <w:sz w:val="24"/>
          <w:szCs w:val="24"/>
        </w:rPr>
        <w:t>vi</w:t>
      </w:r>
      <w:r>
        <w:rPr>
          <w:rFonts w:ascii="Times New Roman" w:hAnsi="Times New Roman" w:cs="Times New Roman"/>
          <w:sz w:val="24"/>
          <w:szCs w:val="24"/>
        </w:rPr>
        <w:t>ia.</w:t>
      </w:r>
      <w:r w:rsidR="00025909" w:rsidRPr="00A10913">
        <w:rPr>
          <w:rFonts w:ascii="Times New Roman" w:hAnsi="Times New Roman" w:cs="Times New Roman"/>
          <w:sz w:val="24"/>
          <w:szCs w:val="24"/>
        </w:rPr>
        <w:t xml:space="preserve"> </w:t>
      </w:r>
      <w:r>
        <w:rPr>
          <w:rFonts w:ascii="Times New Roman" w:hAnsi="Times New Roman" w:cs="Times New Roman"/>
          <w:sz w:val="24"/>
          <w:szCs w:val="24"/>
        </w:rPr>
        <w:t>Selguse huvides p</w:t>
      </w:r>
      <w:r w:rsidR="00025909" w:rsidRPr="00A10913">
        <w:rPr>
          <w:rFonts w:ascii="Times New Roman" w:hAnsi="Times New Roman" w:cs="Times New Roman"/>
          <w:sz w:val="24"/>
          <w:szCs w:val="24"/>
        </w:rPr>
        <w:t xml:space="preserve">alume seletuskirjas § 74 lg-te 1 ja 2 muudatuse juures </w:t>
      </w:r>
      <w:r>
        <w:rPr>
          <w:rFonts w:ascii="Times New Roman" w:hAnsi="Times New Roman" w:cs="Times New Roman"/>
          <w:sz w:val="24"/>
          <w:szCs w:val="24"/>
        </w:rPr>
        <w:t>viidata</w:t>
      </w:r>
      <w:r w:rsidR="00025909" w:rsidRPr="00A10913">
        <w:rPr>
          <w:rFonts w:ascii="Times New Roman" w:hAnsi="Times New Roman" w:cs="Times New Roman"/>
          <w:sz w:val="24"/>
          <w:szCs w:val="24"/>
        </w:rPr>
        <w:t xml:space="preserve"> </w:t>
      </w:r>
      <w:r>
        <w:rPr>
          <w:rFonts w:ascii="Times New Roman" w:hAnsi="Times New Roman" w:cs="Times New Roman"/>
          <w:sz w:val="24"/>
          <w:szCs w:val="24"/>
        </w:rPr>
        <w:t xml:space="preserve">ka </w:t>
      </w:r>
      <w:r w:rsidR="00025909" w:rsidRPr="00A10913">
        <w:rPr>
          <w:rFonts w:ascii="Times New Roman" w:hAnsi="Times New Roman" w:cs="Times New Roman"/>
          <w:sz w:val="24"/>
          <w:szCs w:val="24"/>
        </w:rPr>
        <w:t>ELTS §-st 89 tulenev</w:t>
      </w:r>
      <w:r>
        <w:rPr>
          <w:rFonts w:ascii="Times New Roman" w:hAnsi="Times New Roman" w:cs="Times New Roman"/>
          <w:sz w:val="24"/>
          <w:szCs w:val="24"/>
        </w:rPr>
        <w:t>ale</w:t>
      </w:r>
      <w:r w:rsidR="00025909" w:rsidRPr="00A10913">
        <w:rPr>
          <w:rFonts w:ascii="Times New Roman" w:hAnsi="Times New Roman" w:cs="Times New Roman"/>
          <w:sz w:val="24"/>
          <w:szCs w:val="24"/>
        </w:rPr>
        <w:t xml:space="preserve"> nõu</w:t>
      </w:r>
      <w:r>
        <w:rPr>
          <w:rFonts w:ascii="Times New Roman" w:hAnsi="Times New Roman" w:cs="Times New Roman"/>
          <w:sz w:val="24"/>
          <w:szCs w:val="24"/>
        </w:rPr>
        <w:t>dele.</w:t>
      </w:r>
    </w:p>
    <w:p w14:paraId="1370F0CA" w14:textId="77777777" w:rsidR="00025909" w:rsidRPr="00025909" w:rsidRDefault="00025909" w:rsidP="00025909">
      <w:pPr>
        <w:jc w:val="both"/>
        <w:rPr>
          <w:rFonts w:ascii="Times New Roman" w:hAnsi="Times New Roman" w:cs="Times New Roman"/>
          <w:sz w:val="24"/>
          <w:szCs w:val="24"/>
        </w:rPr>
      </w:pPr>
    </w:p>
    <w:p w14:paraId="6ED23179" w14:textId="22AA9E44" w:rsidR="00025909" w:rsidRPr="00025909" w:rsidRDefault="00D02643" w:rsidP="00025909">
      <w:pPr>
        <w:jc w:val="both"/>
        <w:rPr>
          <w:rFonts w:ascii="Times New Roman" w:hAnsi="Times New Roman" w:cs="Times New Roman"/>
          <w:sz w:val="24"/>
          <w:szCs w:val="24"/>
        </w:rPr>
      </w:pPr>
      <w:r>
        <w:rPr>
          <w:rFonts w:ascii="Times New Roman" w:hAnsi="Times New Roman" w:cs="Times New Roman"/>
          <w:sz w:val="24"/>
          <w:szCs w:val="24"/>
        </w:rPr>
        <w:t>TTJA teeb ettepaneku</w:t>
      </w:r>
      <w:r w:rsidR="00025909" w:rsidRPr="00025909">
        <w:rPr>
          <w:rFonts w:ascii="Times New Roman" w:hAnsi="Times New Roman" w:cs="Times New Roman"/>
          <w:sz w:val="24"/>
          <w:szCs w:val="24"/>
        </w:rPr>
        <w:t xml:space="preserve">, </w:t>
      </w:r>
      <w:r>
        <w:rPr>
          <w:rFonts w:ascii="Times New Roman" w:hAnsi="Times New Roman" w:cs="Times New Roman"/>
          <w:sz w:val="24"/>
          <w:szCs w:val="24"/>
        </w:rPr>
        <w:t xml:space="preserve">et </w:t>
      </w:r>
      <w:r w:rsidR="00025909" w:rsidRPr="00025909">
        <w:rPr>
          <w:rFonts w:ascii="Times New Roman" w:hAnsi="Times New Roman" w:cs="Times New Roman"/>
          <w:sz w:val="24"/>
          <w:szCs w:val="24"/>
        </w:rPr>
        <w:t>teavitamise kor</w:t>
      </w:r>
      <w:r>
        <w:rPr>
          <w:rFonts w:ascii="Times New Roman" w:hAnsi="Times New Roman" w:cs="Times New Roman"/>
          <w:sz w:val="24"/>
          <w:szCs w:val="24"/>
        </w:rPr>
        <w:t>ra muutmisel v</w:t>
      </w:r>
      <w:r w:rsidR="00025909" w:rsidRPr="00025909">
        <w:rPr>
          <w:rFonts w:ascii="Times New Roman" w:hAnsi="Times New Roman" w:cs="Times New Roman"/>
          <w:sz w:val="24"/>
          <w:szCs w:val="24"/>
        </w:rPr>
        <w:t>aadata</w:t>
      </w:r>
      <w:r>
        <w:rPr>
          <w:rFonts w:ascii="Times New Roman" w:hAnsi="Times New Roman" w:cs="Times New Roman"/>
          <w:sz w:val="24"/>
          <w:szCs w:val="24"/>
        </w:rPr>
        <w:t>ks</w:t>
      </w:r>
      <w:r w:rsidR="00FF4717">
        <w:rPr>
          <w:rFonts w:ascii="Times New Roman" w:hAnsi="Times New Roman" w:cs="Times New Roman"/>
          <w:sz w:val="24"/>
          <w:szCs w:val="24"/>
        </w:rPr>
        <w:t xml:space="preserve"> üle</w:t>
      </w:r>
      <w:r w:rsidR="00025909" w:rsidRPr="00025909">
        <w:rPr>
          <w:rFonts w:ascii="Times New Roman" w:hAnsi="Times New Roman" w:cs="Times New Roman"/>
          <w:sz w:val="24"/>
          <w:szCs w:val="24"/>
        </w:rPr>
        <w:t xml:space="preserve"> ka ELTS § 89 </w:t>
      </w:r>
      <w:proofErr w:type="spellStart"/>
      <w:r w:rsidR="00025909" w:rsidRPr="00025909">
        <w:rPr>
          <w:rFonts w:ascii="Times New Roman" w:hAnsi="Times New Roman" w:cs="Times New Roman"/>
          <w:sz w:val="24"/>
          <w:szCs w:val="24"/>
        </w:rPr>
        <w:t>lg-s</w:t>
      </w:r>
      <w:proofErr w:type="spellEnd"/>
      <w:r w:rsidR="00025909" w:rsidRPr="00025909">
        <w:rPr>
          <w:rFonts w:ascii="Times New Roman" w:hAnsi="Times New Roman" w:cs="Times New Roman"/>
          <w:sz w:val="24"/>
          <w:szCs w:val="24"/>
        </w:rPr>
        <w:t xml:space="preserve"> 5 sätestatud lepingu tingimuste muutmise teate</w:t>
      </w:r>
      <w:r>
        <w:rPr>
          <w:rFonts w:ascii="Times New Roman" w:hAnsi="Times New Roman" w:cs="Times New Roman"/>
          <w:sz w:val="24"/>
          <w:szCs w:val="24"/>
        </w:rPr>
        <w:t xml:space="preserve"> edastamine koos</w:t>
      </w:r>
      <w:r w:rsidR="00025909" w:rsidRPr="00025909">
        <w:rPr>
          <w:rFonts w:ascii="Times New Roman" w:hAnsi="Times New Roman" w:cs="Times New Roman"/>
          <w:sz w:val="24"/>
          <w:szCs w:val="24"/>
        </w:rPr>
        <w:t xml:space="preserve"> arveg</w:t>
      </w:r>
      <w:r>
        <w:rPr>
          <w:rFonts w:ascii="Times New Roman" w:hAnsi="Times New Roman" w:cs="Times New Roman"/>
          <w:sz w:val="24"/>
          <w:szCs w:val="24"/>
        </w:rPr>
        <w:t>a</w:t>
      </w:r>
      <w:r w:rsidR="00025909" w:rsidRPr="00025909">
        <w:rPr>
          <w:rFonts w:ascii="Times New Roman" w:hAnsi="Times New Roman" w:cs="Times New Roman"/>
          <w:sz w:val="24"/>
          <w:szCs w:val="24"/>
        </w:rPr>
        <w:t xml:space="preserve">. TTJA praktika </w:t>
      </w:r>
      <w:r>
        <w:rPr>
          <w:rFonts w:ascii="Times New Roman" w:hAnsi="Times New Roman" w:cs="Times New Roman"/>
          <w:sz w:val="24"/>
          <w:szCs w:val="24"/>
        </w:rPr>
        <w:t>näitab</w:t>
      </w:r>
      <w:r w:rsidR="00025909" w:rsidRPr="00025909">
        <w:rPr>
          <w:rFonts w:ascii="Times New Roman" w:hAnsi="Times New Roman" w:cs="Times New Roman"/>
          <w:sz w:val="24"/>
          <w:szCs w:val="24"/>
        </w:rPr>
        <w:t>, et arvel või arvega koos teavitused võivad jääda tähelepanuta ja kõige paremini toimib lepingu tingimuste muutmisest teavitamine</w:t>
      </w:r>
      <w:r w:rsidR="00D87F63">
        <w:rPr>
          <w:rFonts w:ascii="Times New Roman" w:hAnsi="Times New Roman" w:cs="Times New Roman"/>
          <w:sz w:val="24"/>
          <w:szCs w:val="24"/>
        </w:rPr>
        <w:t xml:space="preserve"> e-posti/posti teel saadetava</w:t>
      </w:r>
      <w:r w:rsidR="00025909" w:rsidRPr="00025909">
        <w:rPr>
          <w:rFonts w:ascii="Times New Roman" w:hAnsi="Times New Roman" w:cs="Times New Roman"/>
          <w:sz w:val="24"/>
          <w:szCs w:val="24"/>
        </w:rPr>
        <w:t xml:space="preserve"> eraldi kirjaga. Arve on eeskätt maksedokument</w:t>
      </w:r>
      <w:r w:rsidR="00D87F63">
        <w:rPr>
          <w:rFonts w:ascii="Times New Roman" w:hAnsi="Times New Roman" w:cs="Times New Roman"/>
          <w:sz w:val="24"/>
          <w:szCs w:val="24"/>
        </w:rPr>
        <w:t>.</w:t>
      </w:r>
      <w:r w:rsidR="00025909" w:rsidRPr="00025909">
        <w:rPr>
          <w:rFonts w:ascii="Times New Roman" w:hAnsi="Times New Roman" w:cs="Times New Roman"/>
          <w:sz w:val="24"/>
          <w:szCs w:val="24"/>
        </w:rPr>
        <w:t xml:space="preserve"> </w:t>
      </w:r>
      <w:r w:rsidR="00D87F63">
        <w:rPr>
          <w:rFonts w:ascii="Times New Roman" w:hAnsi="Times New Roman" w:cs="Times New Roman"/>
          <w:sz w:val="24"/>
          <w:szCs w:val="24"/>
        </w:rPr>
        <w:t>N</w:t>
      </w:r>
      <w:r w:rsidR="003E33FE">
        <w:rPr>
          <w:rFonts w:ascii="Times New Roman" w:hAnsi="Times New Roman" w:cs="Times New Roman"/>
          <w:sz w:val="24"/>
          <w:szCs w:val="24"/>
        </w:rPr>
        <w:t>äiteks</w:t>
      </w:r>
      <w:r w:rsidR="00025909" w:rsidRPr="00025909">
        <w:rPr>
          <w:rFonts w:ascii="Times New Roman" w:hAnsi="Times New Roman" w:cs="Times New Roman"/>
          <w:sz w:val="24"/>
          <w:szCs w:val="24"/>
        </w:rPr>
        <w:t xml:space="preserve">, kui </w:t>
      </w:r>
      <w:r w:rsidR="00025909">
        <w:rPr>
          <w:rFonts w:ascii="Times New Roman" w:hAnsi="Times New Roman" w:cs="Times New Roman"/>
          <w:sz w:val="24"/>
          <w:szCs w:val="24"/>
        </w:rPr>
        <w:t>arve saadetakse e-kirjaga, siis sageli on e-kirjas juba toodud arve summa ning kui e-kirja teema real ega sisus ei viidata, et arve sisaldab ka lepingu muutmise teadet, ei pruugi tarbija arvet avada ega sellele tähelepanu pöörata</w:t>
      </w:r>
      <w:r w:rsidR="00D87F63">
        <w:rPr>
          <w:rFonts w:ascii="Times New Roman" w:hAnsi="Times New Roman" w:cs="Times New Roman"/>
          <w:sz w:val="24"/>
          <w:szCs w:val="24"/>
        </w:rPr>
        <w:t>; v</w:t>
      </w:r>
      <w:r w:rsidR="00025909" w:rsidRPr="00025909">
        <w:rPr>
          <w:rFonts w:ascii="Times New Roman" w:hAnsi="Times New Roman" w:cs="Times New Roman"/>
          <w:sz w:val="24"/>
          <w:szCs w:val="24"/>
        </w:rPr>
        <w:t>õi</w:t>
      </w:r>
      <w:r w:rsidR="00D87F63">
        <w:rPr>
          <w:rFonts w:ascii="Times New Roman" w:hAnsi="Times New Roman" w:cs="Times New Roman"/>
          <w:sz w:val="24"/>
          <w:szCs w:val="24"/>
        </w:rPr>
        <w:t xml:space="preserve"> ka</w:t>
      </w:r>
      <w:r w:rsidR="00025909" w:rsidRPr="00025909">
        <w:rPr>
          <w:rFonts w:ascii="Times New Roman" w:hAnsi="Times New Roman" w:cs="Times New Roman"/>
          <w:sz w:val="24"/>
          <w:szCs w:val="24"/>
        </w:rPr>
        <w:t xml:space="preserve"> näiteks</w:t>
      </w:r>
      <w:r w:rsidR="00D87F63">
        <w:rPr>
          <w:rFonts w:ascii="Times New Roman" w:hAnsi="Times New Roman" w:cs="Times New Roman"/>
          <w:sz w:val="24"/>
          <w:szCs w:val="24"/>
        </w:rPr>
        <w:t xml:space="preserve"> juhul</w:t>
      </w:r>
      <w:r>
        <w:rPr>
          <w:rFonts w:ascii="Times New Roman" w:hAnsi="Times New Roman" w:cs="Times New Roman"/>
          <w:sz w:val="24"/>
          <w:szCs w:val="24"/>
        </w:rPr>
        <w:t>,</w:t>
      </w:r>
      <w:r w:rsidR="00025909" w:rsidRPr="00025909">
        <w:rPr>
          <w:rFonts w:ascii="Times New Roman" w:hAnsi="Times New Roman" w:cs="Times New Roman"/>
          <w:sz w:val="24"/>
          <w:szCs w:val="24"/>
        </w:rPr>
        <w:t xml:space="preserve"> kui tarbija saab</w:t>
      </w:r>
      <w:r w:rsidR="003E33FE">
        <w:rPr>
          <w:rFonts w:ascii="Times New Roman" w:hAnsi="Times New Roman" w:cs="Times New Roman"/>
          <w:sz w:val="24"/>
          <w:szCs w:val="24"/>
        </w:rPr>
        <w:t xml:space="preserve"> ainult</w:t>
      </w:r>
      <w:r w:rsidR="00025909" w:rsidRPr="00025909">
        <w:rPr>
          <w:rFonts w:ascii="Times New Roman" w:hAnsi="Times New Roman" w:cs="Times New Roman"/>
          <w:sz w:val="24"/>
          <w:szCs w:val="24"/>
        </w:rPr>
        <w:t xml:space="preserve"> e-arveid internetipanka (tarbija sõnaselgel nõusolekul on TKS § 4 lg 7 alusel võimalik)</w:t>
      </w:r>
      <w:r w:rsidR="003E33FE">
        <w:rPr>
          <w:rFonts w:ascii="Times New Roman" w:hAnsi="Times New Roman" w:cs="Times New Roman"/>
          <w:sz w:val="24"/>
          <w:szCs w:val="24"/>
        </w:rPr>
        <w:t>,</w:t>
      </w:r>
      <w:r w:rsidR="00FF4717">
        <w:rPr>
          <w:rFonts w:ascii="Times New Roman" w:hAnsi="Times New Roman" w:cs="Times New Roman"/>
          <w:sz w:val="24"/>
          <w:szCs w:val="24"/>
        </w:rPr>
        <w:t xml:space="preserve"> </w:t>
      </w:r>
      <w:r w:rsidR="003E33FE">
        <w:rPr>
          <w:rFonts w:ascii="Times New Roman" w:hAnsi="Times New Roman" w:cs="Times New Roman"/>
          <w:sz w:val="24"/>
          <w:szCs w:val="24"/>
        </w:rPr>
        <w:t>iseäranis kui arved tasutakse</w:t>
      </w:r>
      <w:r w:rsidR="00FF4717">
        <w:rPr>
          <w:rFonts w:ascii="Times New Roman" w:hAnsi="Times New Roman" w:cs="Times New Roman"/>
          <w:sz w:val="24"/>
          <w:szCs w:val="24"/>
        </w:rPr>
        <w:t xml:space="preserve"> püsikorraldusega</w:t>
      </w:r>
      <w:r w:rsidR="00D87F63">
        <w:rPr>
          <w:rFonts w:ascii="Times New Roman" w:hAnsi="Times New Roman" w:cs="Times New Roman"/>
          <w:sz w:val="24"/>
          <w:szCs w:val="24"/>
        </w:rPr>
        <w:t>, ei saa tarbija lepingutingimuste muutmise teadet kätte</w:t>
      </w:r>
      <w:r w:rsidR="00025909" w:rsidRPr="00025909">
        <w:rPr>
          <w:rFonts w:ascii="Times New Roman" w:hAnsi="Times New Roman" w:cs="Times New Roman"/>
          <w:sz w:val="24"/>
          <w:szCs w:val="24"/>
        </w:rPr>
        <w:t>.</w:t>
      </w:r>
      <w:r w:rsidR="00D87F63">
        <w:rPr>
          <w:rFonts w:ascii="Times New Roman" w:hAnsi="Times New Roman" w:cs="Times New Roman"/>
          <w:sz w:val="24"/>
          <w:szCs w:val="24"/>
        </w:rPr>
        <w:t xml:space="preserve"> TTJA</w:t>
      </w:r>
      <w:r w:rsidR="00025909" w:rsidRPr="00025909">
        <w:rPr>
          <w:rFonts w:ascii="Times New Roman" w:hAnsi="Times New Roman" w:cs="Times New Roman"/>
          <w:sz w:val="24"/>
          <w:szCs w:val="24"/>
        </w:rPr>
        <w:t xml:space="preserve"> </w:t>
      </w:r>
      <w:r w:rsidR="00D87F63" w:rsidRPr="00D87F63">
        <w:rPr>
          <w:rFonts w:ascii="Times New Roman" w:hAnsi="Times New Roman" w:cs="Times New Roman"/>
          <w:sz w:val="24"/>
          <w:szCs w:val="24"/>
        </w:rPr>
        <w:t>teeb</w:t>
      </w:r>
      <w:r w:rsidR="00025909" w:rsidRPr="00D87F63">
        <w:rPr>
          <w:rFonts w:ascii="Times New Roman" w:hAnsi="Times New Roman" w:cs="Times New Roman"/>
          <w:sz w:val="24"/>
          <w:szCs w:val="24"/>
        </w:rPr>
        <w:t xml:space="preserve"> ettepaneku ELTS § 89 lg 5 muuta kehtetuks ja ELTS § 89 lg 4 esime</w:t>
      </w:r>
      <w:r w:rsidR="001A75B4">
        <w:rPr>
          <w:rFonts w:ascii="Times New Roman" w:hAnsi="Times New Roman" w:cs="Times New Roman"/>
          <w:sz w:val="24"/>
          <w:szCs w:val="24"/>
        </w:rPr>
        <w:t>st</w:t>
      </w:r>
      <w:r w:rsidR="00025909" w:rsidRPr="00D87F63">
        <w:rPr>
          <w:rFonts w:ascii="Times New Roman" w:hAnsi="Times New Roman" w:cs="Times New Roman"/>
          <w:sz w:val="24"/>
          <w:szCs w:val="24"/>
        </w:rPr>
        <w:t xml:space="preserve"> lause</w:t>
      </w:r>
      <w:r w:rsidR="00D87F63">
        <w:rPr>
          <w:rFonts w:ascii="Times New Roman" w:hAnsi="Times New Roman" w:cs="Times New Roman"/>
          <w:sz w:val="24"/>
          <w:szCs w:val="24"/>
        </w:rPr>
        <w:t>t</w:t>
      </w:r>
      <w:r w:rsidR="00025909" w:rsidRPr="00D87F63">
        <w:rPr>
          <w:rFonts w:ascii="Times New Roman" w:hAnsi="Times New Roman" w:cs="Times New Roman"/>
          <w:sz w:val="24"/>
          <w:szCs w:val="24"/>
        </w:rPr>
        <w:t xml:space="preserve"> muuta </w:t>
      </w:r>
      <w:r w:rsidR="00D87F63">
        <w:rPr>
          <w:rFonts w:ascii="Times New Roman" w:hAnsi="Times New Roman" w:cs="Times New Roman"/>
          <w:sz w:val="24"/>
          <w:szCs w:val="24"/>
        </w:rPr>
        <w:t xml:space="preserve">selliselt, et selles kajastuks </w:t>
      </w:r>
      <w:r w:rsidR="001A75B4">
        <w:rPr>
          <w:rFonts w:ascii="Times New Roman" w:hAnsi="Times New Roman" w:cs="Times New Roman"/>
          <w:sz w:val="24"/>
          <w:szCs w:val="24"/>
        </w:rPr>
        <w:t>teavitamiskohustus eraldi kirjaga, näiteks järgmises sõnastuses</w:t>
      </w:r>
      <w:r w:rsidR="00025909" w:rsidRPr="00D87F63">
        <w:rPr>
          <w:rFonts w:ascii="Times New Roman" w:hAnsi="Times New Roman" w:cs="Times New Roman"/>
          <w:sz w:val="24"/>
          <w:szCs w:val="24"/>
        </w:rPr>
        <w:t>: „Võrguettevõtja või müüja edastab tarbijale enne lepingutingimuste muutmist sellekohase teate</w:t>
      </w:r>
      <w:r w:rsidR="00FF4717" w:rsidRPr="00D87F63">
        <w:rPr>
          <w:rFonts w:ascii="Times New Roman" w:hAnsi="Times New Roman" w:cs="Times New Roman"/>
          <w:sz w:val="24"/>
          <w:szCs w:val="24"/>
        </w:rPr>
        <w:t xml:space="preserve"> eraldi kirjaga</w:t>
      </w:r>
      <w:r w:rsidR="00025909" w:rsidRPr="00D87F63">
        <w:rPr>
          <w:rFonts w:ascii="Times New Roman" w:hAnsi="Times New Roman" w:cs="Times New Roman"/>
          <w:sz w:val="24"/>
          <w:szCs w:val="24"/>
        </w:rPr>
        <w:t xml:space="preserve"> vähemalt üks kuu ette lepingus kokkulepitud viisil.“</w:t>
      </w:r>
      <w:r w:rsidR="00FF4717" w:rsidRPr="00D87F63">
        <w:rPr>
          <w:rFonts w:ascii="Times New Roman" w:hAnsi="Times New Roman" w:cs="Times New Roman"/>
          <w:sz w:val="24"/>
          <w:szCs w:val="24"/>
        </w:rPr>
        <w:t>.</w:t>
      </w:r>
      <w:r w:rsidR="00025909" w:rsidRPr="00025909">
        <w:rPr>
          <w:rFonts w:ascii="Times New Roman" w:hAnsi="Times New Roman" w:cs="Times New Roman"/>
          <w:sz w:val="24"/>
          <w:szCs w:val="24"/>
        </w:rPr>
        <w:t xml:space="preserve"> </w:t>
      </w:r>
    </w:p>
    <w:p w14:paraId="10C0E2B9" w14:textId="77777777" w:rsidR="00025909" w:rsidRPr="00025909" w:rsidRDefault="00025909" w:rsidP="00025909">
      <w:pPr>
        <w:jc w:val="both"/>
        <w:rPr>
          <w:rFonts w:ascii="Times New Roman" w:hAnsi="Times New Roman" w:cs="Times New Roman"/>
          <w:b/>
          <w:bCs/>
          <w:sz w:val="24"/>
          <w:szCs w:val="24"/>
        </w:rPr>
      </w:pPr>
    </w:p>
    <w:p w14:paraId="52C69F1C" w14:textId="1E8D942A" w:rsidR="00025909" w:rsidRDefault="00025909" w:rsidP="00025909">
      <w:pPr>
        <w:pStyle w:val="Loendilik"/>
        <w:numPr>
          <w:ilvl w:val="0"/>
          <w:numId w:val="1"/>
        </w:numPr>
        <w:jc w:val="both"/>
        <w:rPr>
          <w:rFonts w:ascii="Times New Roman" w:hAnsi="Times New Roman" w:cs="Times New Roman"/>
          <w:b/>
          <w:bCs/>
          <w:sz w:val="24"/>
          <w:szCs w:val="24"/>
        </w:rPr>
      </w:pPr>
      <w:r w:rsidRPr="00025909">
        <w:rPr>
          <w:rFonts w:ascii="Times New Roman" w:hAnsi="Times New Roman" w:cs="Times New Roman"/>
          <w:b/>
          <w:bCs/>
          <w:sz w:val="24"/>
          <w:szCs w:val="24"/>
        </w:rPr>
        <w:t xml:space="preserve">p. 30 </w:t>
      </w:r>
    </w:p>
    <w:p w14:paraId="341921FC" w14:textId="77777777" w:rsidR="003E33FE" w:rsidRDefault="003E33FE" w:rsidP="003E33FE">
      <w:pPr>
        <w:jc w:val="both"/>
        <w:rPr>
          <w:rFonts w:ascii="Times New Roman" w:hAnsi="Times New Roman" w:cs="Times New Roman"/>
          <w:b/>
          <w:bCs/>
          <w:sz w:val="24"/>
          <w:szCs w:val="24"/>
        </w:rPr>
      </w:pPr>
    </w:p>
    <w:p w14:paraId="73AF51BB" w14:textId="394B980F" w:rsidR="003E33FE" w:rsidRDefault="003E33FE" w:rsidP="003E33FE">
      <w:pPr>
        <w:pStyle w:val="Kehatekst"/>
        <w:spacing w:after="0" w:line="240" w:lineRule="auto"/>
        <w:rPr>
          <w:rFonts w:cs="Times New Roman"/>
        </w:rPr>
      </w:pPr>
      <w:r>
        <w:rPr>
          <w:rFonts w:cs="Times New Roman"/>
          <w:b/>
          <w:bCs/>
        </w:rPr>
        <w:t>30</w:t>
      </w:r>
      <w:r w:rsidRPr="00FF400A">
        <w:rPr>
          <w:rFonts w:cs="Times New Roman"/>
          <w:b/>
          <w:bCs/>
        </w:rPr>
        <w:t>)</w:t>
      </w:r>
      <w:r>
        <w:rPr>
          <w:rFonts w:cs="Times New Roman"/>
        </w:rPr>
        <w:t xml:space="preserve"> paragrahvi 75</w:t>
      </w:r>
      <w:r>
        <w:rPr>
          <w:rFonts w:cs="Times New Roman"/>
          <w:vertAlign w:val="superscript"/>
        </w:rPr>
        <w:t>1</w:t>
      </w:r>
      <w:r>
        <w:rPr>
          <w:rFonts w:cs="Times New Roman"/>
        </w:rPr>
        <w:t xml:space="preserve"> täiendatakse lõigetega 2</w:t>
      </w:r>
      <w:r>
        <w:rPr>
          <w:rFonts w:cs="Times New Roman"/>
          <w:vertAlign w:val="superscript"/>
        </w:rPr>
        <w:t>1</w:t>
      </w:r>
      <w:r>
        <w:rPr>
          <w:rFonts w:cs="Times New Roman"/>
        </w:rPr>
        <w:t>–2</w:t>
      </w:r>
      <w:r>
        <w:rPr>
          <w:rFonts w:cs="Times New Roman"/>
          <w:vertAlign w:val="superscript"/>
        </w:rPr>
        <w:t>3</w:t>
      </w:r>
      <w:r>
        <w:rPr>
          <w:rFonts w:cs="Times New Roman"/>
        </w:rPr>
        <w:t xml:space="preserve"> järgmises sõnastuses:</w:t>
      </w:r>
    </w:p>
    <w:p w14:paraId="27DF6DE5" w14:textId="77777777" w:rsidR="003E33FE" w:rsidRDefault="003E33FE" w:rsidP="003E33FE">
      <w:pPr>
        <w:pStyle w:val="Kehatekst"/>
        <w:spacing w:after="0" w:line="240" w:lineRule="auto"/>
        <w:rPr>
          <w:rFonts w:cs="Times New Roman"/>
        </w:rPr>
      </w:pPr>
      <w:r>
        <w:rPr>
          <w:rFonts w:cs="Times New Roman"/>
        </w:rPr>
        <w:t>(2</w:t>
      </w:r>
      <w:r>
        <w:rPr>
          <w:rFonts w:cs="Times New Roman"/>
          <w:vertAlign w:val="superscript"/>
        </w:rPr>
        <w:t>2</w:t>
      </w:r>
      <w:r>
        <w:rPr>
          <w:rFonts w:cs="Times New Roman"/>
        </w:rPr>
        <w:t>) Müüja võimaldab tarbijale saada arveid elektrooniliselt.</w:t>
      </w:r>
    </w:p>
    <w:p w14:paraId="28D2CF16" w14:textId="77777777" w:rsidR="00025909" w:rsidRPr="00025909" w:rsidRDefault="00025909" w:rsidP="00025909">
      <w:pPr>
        <w:jc w:val="both"/>
        <w:rPr>
          <w:rFonts w:ascii="Times New Roman" w:hAnsi="Times New Roman" w:cs="Times New Roman"/>
          <w:sz w:val="24"/>
          <w:szCs w:val="24"/>
        </w:rPr>
      </w:pPr>
    </w:p>
    <w:p w14:paraId="47C48C1B" w14:textId="7204ECC2" w:rsidR="00FF4717" w:rsidRDefault="00025909" w:rsidP="00025909">
      <w:pPr>
        <w:jc w:val="both"/>
        <w:rPr>
          <w:rFonts w:ascii="Times New Roman" w:hAnsi="Times New Roman" w:cs="Times New Roman"/>
          <w:sz w:val="24"/>
          <w:szCs w:val="24"/>
        </w:rPr>
      </w:pPr>
      <w:r w:rsidRPr="00025909">
        <w:rPr>
          <w:rFonts w:ascii="Times New Roman" w:hAnsi="Times New Roman" w:cs="Times New Roman"/>
          <w:sz w:val="24"/>
          <w:szCs w:val="24"/>
        </w:rPr>
        <w:t xml:space="preserve">Kodutarbijatel on </w:t>
      </w:r>
      <w:hyperlink r:id="rId5" w:history="1">
        <w:r w:rsidRPr="00025909">
          <w:rPr>
            <w:rStyle w:val="Hperlink"/>
            <w:rFonts w:ascii="Times New Roman" w:hAnsi="Times New Roman" w:cs="Times New Roman"/>
            <w:sz w:val="24"/>
            <w:szCs w:val="24"/>
          </w:rPr>
          <w:t>TKS</w:t>
        </w:r>
      </w:hyperlink>
      <w:r w:rsidRPr="00025909">
        <w:rPr>
          <w:rFonts w:ascii="Times New Roman" w:hAnsi="Times New Roman" w:cs="Times New Roman"/>
          <w:sz w:val="24"/>
          <w:szCs w:val="24"/>
        </w:rPr>
        <w:t xml:space="preserve"> § 4 lg-te 6 ja 7 kohaselt õigus valida, kas arve esitakse postiaadressile või e-posti aadressile. Kaupleja võib nimetatud viisil jätta arve esitamata vaid juhul, kui tarbija on sõnaselgelt nõustunud sellega, et arve on kättesaadav kaupleja elektroonilise klienditeeninduskeskkonna, internetipanga või muu sellise keskkonna või andmekandja kaudu. Tarbijalt nõusoleku saamist peab vaidluse korral tõendama kaupleja. Eelnõu sõnastust „Müüja võimaldab tarbijale saada arveid elektrooniliselt“ võib mitmeti mõista, sh, et arveid esitatakse elektrooniliselt. </w:t>
      </w:r>
      <w:r w:rsidR="00BF4F1F">
        <w:rPr>
          <w:rFonts w:ascii="Times New Roman" w:hAnsi="Times New Roman" w:cs="Times New Roman"/>
          <w:sz w:val="24"/>
          <w:szCs w:val="24"/>
        </w:rPr>
        <w:t>Seega võib pakutava sõnastus tekitada segadust ja tõlgendust, mis on vastuolus TKS-s sätestatuga.</w:t>
      </w:r>
    </w:p>
    <w:p w14:paraId="5AF4CEFA" w14:textId="77777777" w:rsidR="00FF4717" w:rsidRDefault="00FF4717" w:rsidP="00025909">
      <w:pPr>
        <w:jc w:val="both"/>
        <w:rPr>
          <w:rFonts w:ascii="Times New Roman" w:hAnsi="Times New Roman" w:cs="Times New Roman"/>
          <w:sz w:val="24"/>
          <w:szCs w:val="24"/>
        </w:rPr>
      </w:pPr>
    </w:p>
    <w:p w14:paraId="3A5F57A2" w14:textId="11D86974" w:rsidR="00025909" w:rsidRPr="00025909" w:rsidRDefault="006B2B54" w:rsidP="00025909">
      <w:pPr>
        <w:jc w:val="both"/>
        <w:rPr>
          <w:rFonts w:ascii="Times New Roman" w:hAnsi="Times New Roman" w:cs="Times New Roman"/>
          <w:sz w:val="24"/>
          <w:szCs w:val="24"/>
        </w:rPr>
      </w:pPr>
      <w:hyperlink r:id="rId6" w:history="1">
        <w:r w:rsidR="00025909" w:rsidRPr="00025909">
          <w:rPr>
            <w:rStyle w:val="Hperlink"/>
            <w:rFonts w:ascii="Times New Roman" w:hAnsi="Times New Roman" w:cs="Times New Roman"/>
            <w:sz w:val="24"/>
            <w:szCs w:val="24"/>
          </w:rPr>
          <w:t>Direktiivi 2019/944</w:t>
        </w:r>
      </w:hyperlink>
      <w:r w:rsidR="00025909" w:rsidRPr="00025909">
        <w:rPr>
          <w:rFonts w:ascii="Times New Roman" w:hAnsi="Times New Roman" w:cs="Times New Roman"/>
          <w:sz w:val="24"/>
          <w:szCs w:val="24"/>
        </w:rPr>
        <w:t xml:space="preserve"> art 18 </w:t>
      </w:r>
      <w:proofErr w:type="spellStart"/>
      <w:r w:rsidR="00025909" w:rsidRPr="00025909">
        <w:rPr>
          <w:rFonts w:ascii="Times New Roman" w:hAnsi="Times New Roman" w:cs="Times New Roman"/>
          <w:sz w:val="24"/>
          <w:szCs w:val="24"/>
        </w:rPr>
        <w:t>lg-st</w:t>
      </w:r>
      <w:proofErr w:type="spellEnd"/>
      <w:r w:rsidR="00025909" w:rsidRPr="00025909">
        <w:rPr>
          <w:rFonts w:ascii="Times New Roman" w:hAnsi="Times New Roman" w:cs="Times New Roman"/>
          <w:sz w:val="24"/>
          <w:szCs w:val="24"/>
        </w:rPr>
        <w:t xml:space="preserve"> 3 nähtub, et liikmesriikidel on kohustus tagada, et lõpptarbijatele pakutakse võimalust saada arveid ja arvetel esitatud teavet elektrooniliselt.</w:t>
      </w:r>
      <w:r w:rsidR="00A7543D">
        <w:rPr>
          <w:rFonts w:ascii="Times New Roman" w:hAnsi="Times New Roman" w:cs="Times New Roman"/>
          <w:sz w:val="24"/>
          <w:szCs w:val="24"/>
        </w:rPr>
        <w:t xml:space="preserve"> TTJA hinnangul on ka ülaltoodud TKS sättega tagatud, et </w:t>
      </w:r>
      <w:r w:rsidR="00BF4F1F">
        <w:rPr>
          <w:rFonts w:ascii="Times New Roman" w:hAnsi="Times New Roman" w:cs="Times New Roman"/>
          <w:sz w:val="24"/>
          <w:szCs w:val="24"/>
        </w:rPr>
        <w:t xml:space="preserve">tarbijale pakutakse võimalust saada arveid ja arvetel esitatud teavet elektrooniliselt, sest tarbijale on selles osas antud valikuõigus. Juhul, kui direktiiv peab silmas, et seda tuleb tarbijatele eraldi pakkuda ning see on vajalik </w:t>
      </w:r>
      <w:proofErr w:type="spellStart"/>
      <w:r w:rsidR="00BF4F1F">
        <w:rPr>
          <w:rFonts w:ascii="Times New Roman" w:hAnsi="Times New Roman" w:cs="Times New Roman"/>
          <w:sz w:val="24"/>
          <w:szCs w:val="24"/>
        </w:rPr>
        <w:t>ELTS-i</w:t>
      </w:r>
      <w:proofErr w:type="spellEnd"/>
      <w:r w:rsidR="00BF4F1F">
        <w:rPr>
          <w:rFonts w:ascii="Times New Roman" w:hAnsi="Times New Roman" w:cs="Times New Roman"/>
          <w:sz w:val="24"/>
          <w:szCs w:val="24"/>
        </w:rPr>
        <w:t xml:space="preserve"> sisse viia, siis </w:t>
      </w:r>
      <w:r w:rsidR="00BF4F1F" w:rsidRPr="00BF4F1F">
        <w:rPr>
          <w:rFonts w:ascii="Times New Roman" w:hAnsi="Times New Roman" w:cs="Times New Roman"/>
          <w:sz w:val="24"/>
          <w:szCs w:val="24"/>
        </w:rPr>
        <w:t>s</w:t>
      </w:r>
      <w:r w:rsidR="00025909" w:rsidRPr="00BF4F1F">
        <w:rPr>
          <w:rFonts w:ascii="Times New Roman" w:hAnsi="Times New Roman" w:cs="Times New Roman"/>
          <w:sz w:val="24"/>
          <w:szCs w:val="24"/>
        </w:rPr>
        <w:t>elleks, et sätte mõte oleks üheselt arusaadav ja ei oleks vastuolus TKS § 4 lg-</w:t>
      </w:r>
      <w:proofErr w:type="spellStart"/>
      <w:r w:rsidR="00025909" w:rsidRPr="00BF4F1F">
        <w:rPr>
          <w:rFonts w:ascii="Times New Roman" w:hAnsi="Times New Roman" w:cs="Times New Roman"/>
          <w:sz w:val="24"/>
          <w:szCs w:val="24"/>
        </w:rPr>
        <w:t>tega</w:t>
      </w:r>
      <w:proofErr w:type="spellEnd"/>
      <w:r w:rsidR="00025909" w:rsidRPr="00BF4F1F">
        <w:rPr>
          <w:rFonts w:ascii="Times New Roman" w:hAnsi="Times New Roman" w:cs="Times New Roman"/>
          <w:sz w:val="24"/>
          <w:szCs w:val="24"/>
        </w:rPr>
        <w:t xml:space="preserve"> 6 ja 7</w:t>
      </w:r>
      <w:r w:rsidR="00BF4F1F" w:rsidRPr="00BF4F1F">
        <w:rPr>
          <w:rFonts w:ascii="Times New Roman" w:hAnsi="Times New Roman" w:cs="Times New Roman"/>
          <w:sz w:val="24"/>
          <w:szCs w:val="24"/>
        </w:rPr>
        <w:t>,</w:t>
      </w:r>
      <w:r w:rsidR="00025909" w:rsidRPr="00BF4F1F">
        <w:rPr>
          <w:rFonts w:ascii="Times New Roman" w:hAnsi="Times New Roman" w:cs="Times New Roman"/>
          <w:sz w:val="24"/>
          <w:szCs w:val="24"/>
        </w:rPr>
        <w:t xml:space="preserve"> teeb TTJA ettepaneku sõnastada § 75</w:t>
      </w:r>
      <w:r w:rsidR="00025909" w:rsidRPr="00BF4F1F">
        <w:rPr>
          <w:rFonts w:ascii="Times New Roman" w:hAnsi="Times New Roman" w:cs="Times New Roman"/>
          <w:sz w:val="24"/>
          <w:szCs w:val="24"/>
          <w:vertAlign w:val="superscript"/>
        </w:rPr>
        <w:t>1</w:t>
      </w:r>
      <w:r w:rsidR="00025909" w:rsidRPr="00BF4F1F">
        <w:rPr>
          <w:rFonts w:ascii="Times New Roman" w:hAnsi="Times New Roman" w:cs="Times New Roman"/>
          <w:sz w:val="24"/>
          <w:szCs w:val="24"/>
        </w:rPr>
        <w:t xml:space="preserve"> lg 2</w:t>
      </w:r>
      <w:r w:rsidR="00025909" w:rsidRPr="00BF4F1F">
        <w:rPr>
          <w:rFonts w:ascii="Times New Roman" w:hAnsi="Times New Roman" w:cs="Times New Roman"/>
          <w:sz w:val="24"/>
          <w:szCs w:val="24"/>
          <w:vertAlign w:val="superscript"/>
        </w:rPr>
        <w:t>2</w:t>
      </w:r>
      <w:r w:rsidR="00025909" w:rsidRPr="00BF4F1F">
        <w:rPr>
          <w:rFonts w:ascii="Times New Roman" w:hAnsi="Times New Roman" w:cs="Times New Roman"/>
          <w:sz w:val="24"/>
          <w:szCs w:val="24"/>
        </w:rPr>
        <w:t xml:space="preserve"> järgmiselt: „Müüja pakub tarbijale võimalust saada arveid ja arvetel esitatavat teavet elektrooniliselt.“.</w:t>
      </w:r>
    </w:p>
    <w:p w14:paraId="76B1B71E" w14:textId="77777777" w:rsidR="00025909" w:rsidRPr="00025909" w:rsidRDefault="00025909" w:rsidP="00025909">
      <w:pPr>
        <w:jc w:val="both"/>
        <w:rPr>
          <w:rFonts w:ascii="Times New Roman" w:hAnsi="Times New Roman" w:cs="Times New Roman"/>
          <w:sz w:val="24"/>
          <w:szCs w:val="24"/>
        </w:rPr>
      </w:pPr>
    </w:p>
    <w:p w14:paraId="1ACAEEDD" w14:textId="7C4FF5C8" w:rsidR="00025909" w:rsidRPr="00025909" w:rsidRDefault="00025909" w:rsidP="00025909">
      <w:pPr>
        <w:pStyle w:val="Loendilik"/>
        <w:numPr>
          <w:ilvl w:val="0"/>
          <w:numId w:val="1"/>
        </w:numPr>
        <w:jc w:val="both"/>
        <w:rPr>
          <w:rFonts w:ascii="Times New Roman" w:hAnsi="Times New Roman" w:cs="Times New Roman"/>
          <w:b/>
          <w:bCs/>
          <w:sz w:val="24"/>
          <w:szCs w:val="24"/>
        </w:rPr>
      </w:pPr>
      <w:r w:rsidRPr="00025909">
        <w:rPr>
          <w:rFonts w:ascii="Times New Roman" w:hAnsi="Times New Roman" w:cs="Times New Roman"/>
          <w:b/>
          <w:bCs/>
          <w:sz w:val="24"/>
          <w:szCs w:val="24"/>
        </w:rPr>
        <w:t xml:space="preserve">p. 36 </w:t>
      </w:r>
    </w:p>
    <w:p w14:paraId="763A5C97" w14:textId="77777777" w:rsidR="00025909" w:rsidRPr="00025909" w:rsidRDefault="00025909" w:rsidP="00025909">
      <w:pPr>
        <w:jc w:val="both"/>
        <w:rPr>
          <w:rFonts w:ascii="Times New Roman" w:hAnsi="Times New Roman" w:cs="Times New Roman"/>
          <w:b/>
          <w:bCs/>
          <w:sz w:val="24"/>
          <w:szCs w:val="24"/>
        </w:rPr>
      </w:pPr>
    </w:p>
    <w:p w14:paraId="5C164F7F" w14:textId="77777777" w:rsidR="00FF4717" w:rsidRPr="00FF4717" w:rsidRDefault="00FF4717" w:rsidP="00FF4717">
      <w:pPr>
        <w:rPr>
          <w:rFonts w:ascii="Times New Roman" w:hAnsi="Times New Roman" w:cs="Times New Roman"/>
          <w:bCs/>
          <w:sz w:val="24"/>
          <w:szCs w:val="24"/>
        </w:rPr>
      </w:pPr>
      <w:r w:rsidRPr="00FF4717">
        <w:rPr>
          <w:rFonts w:ascii="Times New Roman" w:hAnsi="Times New Roman" w:cs="Times New Roman"/>
          <w:b/>
          <w:sz w:val="24"/>
          <w:szCs w:val="24"/>
        </w:rPr>
        <w:t>36)</w:t>
      </w:r>
      <w:r w:rsidRPr="00FF4717">
        <w:rPr>
          <w:rFonts w:ascii="Times New Roman" w:hAnsi="Times New Roman" w:cs="Times New Roman"/>
          <w:bCs/>
          <w:sz w:val="24"/>
          <w:szCs w:val="24"/>
        </w:rPr>
        <w:t xml:space="preserve"> paragrahvi 87 lõike 1 punkt 9 muudetakse ja sõnastatakse järgmiselt:</w:t>
      </w:r>
    </w:p>
    <w:p w14:paraId="5EF4B425" w14:textId="493B2039" w:rsidR="00FF4717" w:rsidRPr="00FF4717" w:rsidRDefault="00FF4717" w:rsidP="00FF4717">
      <w:pPr>
        <w:rPr>
          <w:rFonts w:ascii="Times New Roman" w:hAnsi="Times New Roman" w:cs="Times New Roman"/>
          <w:bCs/>
          <w:sz w:val="24"/>
          <w:szCs w:val="24"/>
        </w:rPr>
      </w:pPr>
      <w:r w:rsidRPr="00FF4717">
        <w:rPr>
          <w:rFonts w:ascii="Times New Roman" w:hAnsi="Times New Roman" w:cs="Times New Roman"/>
          <w:bCs/>
          <w:sz w:val="24"/>
          <w:szCs w:val="24"/>
        </w:rPr>
        <w:t xml:space="preserve">„9) teave kaebuste käsitlemise kohta, </w:t>
      </w:r>
      <w:bookmarkStart w:id="0" w:name="_Hlk168405169"/>
      <w:r w:rsidRPr="00FF4717">
        <w:rPr>
          <w:rFonts w:ascii="Times New Roman" w:hAnsi="Times New Roman" w:cs="Times New Roman"/>
          <w:bCs/>
          <w:sz w:val="24"/>
          <w:szCs w:val="24"/>
        </w:rPr>
        <w:t>sealhulgas teave tarbija õiguste kohta, mis seonduvad vaidluste kohtuvälise lahendamisega vastavalt tarbijakaitse seadusele</w:t>
      </w:r>
      <w:bookmarkEnd w:id="0"/>
      <w:r w:rsidRPr="00FF4717">
        <w:rPr>
          <w:rFonts w:ascii="Times New Roman" w:hAnsi="Times New Roman" w:cs="Times New Roman"/>
          <w:bCs/>
          <w:sz w:val="24"/>
          <w:szCs w:val="24"/>
        </w:rPr>
        <w:t>;“</w:t>
      </w:r>
    </w:p>
    <w:p w14:paraId="33F38C31" w14:textId="77777777" w:rsidR="00FF4717" w:rsidRDefault="00FF4717" w:rsidP="00025909">
      <w:pPr>
        <w:jc w:val="both"/>
        <w:rPr>
          <w:rFonts w:ascii="Times New Roman" w:hAnsi="Times New Roman" w:cs="Times New Roman"/>
          <w:sz w:val="24"/>
          <w:szCs w:val="24"/>
        </w:rPr>
      </w:pPr>
    </w:p>
    <w:p w14:paraId="0BFCEEA7" w14:textId="23DB60E6" w:rsidR="00FF4717" w:rsidRDefault="00025909" w:rsidP="00025909">
      <w:pPr>
        <w:jc w:val="both"/>
        <w:rPr>
          <w:rFonts w:ascii="Times New Roman" w:hAnsi="Times New Roman" w:cs="Times New Roman"/>
          <w:sz w:val="24"/>
          <w:szCs w:val="24"/>
        </w:rPr>
      </w:pPr>
      <w:r w:rsidRPr="00025909">
        <w:rPr>
          <w:rFonts w:ascii="Times New Roman" w:hAnsi="Times New Roman" w:cs="Times New Roman"/>
          <w:sz w:val="24"/>
          <w:szCs w:val="24"/>
        </w:rPr>
        <w:t xml:space="preserve">Juhime tähelepanu, et vaidluste lahendamine on jagatud Konkurentsiameti ja TTJA juures tegutseva tarbijavaidluste komisjoni vahel. Konkurentsiamet lahendab vaidlusi </w:t>
      </w:r>
      <w:r w:rsidR="00FF4717">
        <w:rPr>
          <w:rFonts w:ascii="Times New Roman" w:hAnsi="Times New Roman" w:cs="Times New Roman"/>
          <w:sz w:val="24"/>
          <w:szCs w:val="24"/>
        </w:rPr>
        <w:t xml:space="preserve">vastavalt </w:t>
      </w:r>
      <w:r w:rsidRPr="00025909">
        <w:rPr>
          <w:rFonts w:ascii="Times New Roman" w:hAnsi="Times New Roman" w:cs="Times New Roman"/>
          <w:sz w:val="24"/>
          <w:szCs w:val="24"/>
        </w:rPr>
        <w:t>ELTS §</w:t>
      </w:r>
      <w:r w:rsidR="00FF4717">
        <w:rPr>
          <w:rFonts w:ascii="Times New Roman" w:hAnsi="Times New Roman" w:cs="Times New Roman"/>
          <w:sz w:val="24"/>
          <w:szCs w:val="24"/>
        </w:rPr>
        <w:t>-le</w:t>
      </w:r>
      <w:r w:rsidRPr="00025909">
        <w:rPr>
          <w:rFonts w:ascii="Times New Roman" w:hAnsi="Times New Roman" w:cs="Times New Roman"/>
          <w:sz w:val="24"/>
          <w:szCs w:val="24"/>
        </w:rPr>
        <w:t xml:space="preserve"> 99 kodutarbija poolt esitatud kaebuse alusel, kui küsimust reguleerib ELTS või selle alusel kehtestatud õigusakt (vt ka Riigikohtu lahend: </w:t>
      </w:r>
      <w:hyperlink r:id="rId7" w:history="1">
        <w:r w:rsidRPr="00025909">
          <w:rPr>
            <w:rStyle w:val="Hperlink"/>
            <w:rFonts w:ascii="Times New Roman" w:hAnsi="Times New Roman" w:cs="Times New Roman"/>
            <w:sz w:val="24"/>
            <w:szCs w:val="24"/>
          </w:rPr>
          <w:t>3-3-1-43-12</w:t>
        </w:r>
      </w:hyperlink>
      <w:r w:rsidRPr="00025909">
        <w:rPr>
          <w:rFonts w:ascii="Times New Roman" w:hAnsi="Times New Roman" w:cs="Times New Roman"/>
          <w:sz w:val="24"/>
          <w:szCs w:val="24"/>
        </w:rPr>
        <w:t xml:space="preserve">). Tarbijavaidluste komisjon sellist vaidlust ei lahenda, sest TKS § 40 lg 5 sätestab, et komisjon ei lahenda vaidlust, mille lahendamise kord on ette nähtud teistes seadustes. Tarbijavaidluste komisjon lahendab kodutarbija ja kaupleja vahel sõlmitud lepingust tulenevat tarbijavaidlust, kuid küsimustes, mis ei ole reguleeritud </w:t>
      </w:r>
      <w:proofErr w:type="spellStart"/>
      <w:r w:rsidRPr="00025909">
        <w:rPr>
          <w:rFonts w:ascii="Times New Roman" w:hAnsi="Times New Roman" w:cs="Times New Roman"/>
          <w:sz w:val="24"/>
          <w:szCs w:val="24"/>
        </w:rPr>
        <w:t>ELTS-ga</w:t>
      </w:r>
      <w:proofErr w:type="spellEnd"/>
      <w:r w:rsidRPr="00025909">
        <w:rPr>
          <w:rFonts w:ascii="Times New Roman" w:hAnsi="Times New Roman" w:cs="Times New Roman"/>
          <w:sz w:val="24"/>
          <w:szCs w:val="24"/>
        </w:rPr>
        <w:t xml:space="preserve">, nt arve lepingu tingimustele vastavus vms. </w:t>
      </w:r>
      <w:r w:rsidR="00FF4717">
        <w:rPr>
          <w:rFonts w:ascii="Times New Roman" w:hAnsi="Times New Roman" w:cs="Times New Roman"/>
          <w:sz w:val="24"/>
          <w:szCs w:val="24"/>
        </w:rPr>
        <w:t xml:space="preserve">Seetõttu tuleb arvestada sätte muutmisel mõlema asutuse pädevusega. </w:t>
      </w:r>
      <w:r w:rsidRPr="00025909">
        <w:rPr>
          <w:rFonts w:ascii="Times New Roman" w:hAnsi="Times New Roman" w:cs="Times New Roman"/>
          <w:sz w:val="24"/>
          <w:szCs w:val="24"/>
        </w:rPr>
        <w:t>Konkurentsiameti pädevusse kuulu</w:t>
      </w:r>
      <w:r w:rsidR="00EB01F1">
        <w:rPr>
          <w:rFonts w:ascii="Times New Roman" w:hAnsi="Times New Roman" w:cs="Times New Roman"/>
          <w:sz w:val="24"/>
          <w:szCs w:val="24"/>
        </w:rPr>
        <w:t>b</w:t>
      </w:r>
      <w:r w:rsidRPr="00025909">
        <w:rPr>
          <w:rFonts w:ascii="Times New Roman" w:hAnsi="Times New Roman" w:cs="Times New Roman"/>
          <w:sz w:val="24"/>
          <w:szCs w:val="24"/>
        </w:rPr>
        <w:t xml:space="preserve"> nt ka küsimus, mis </w:t>
      </w:r>
      <w:r w:rsidR="00FF4717">
        <w:rPr>
          <w:rFonts w:ascii="Times New Roman" w:hAnsi="Times New Roman" w:cs="Times New Roman"/>
          <w:sz w:val="24"/>
          <w:szCs w:val="24"/>
        </w:rPr>
        <w:t>puudutab võrguühenduse katkestamist</w:t>
      </w:r>
      <w:r w:rsidRPr="00025909">
        <w:rPr>
          <w:rFonts w:ascii="Times New Roman" w:hAnsi="Times New Roman" w:cs="Times New Roman"/>
          <w:sz w:val="24"/>
          <w:szCs w:val="24"/>
        </w:rPr>
        <w:t xml:space="preserve"> (ELTS §</w:t>
      </w:r>
      <w:r w:rsidR="00FF4717">
        <w:rPr>
          <w:rFonts w:ascii="Times New Roman" w:hAnsi="Times New Roman" w:cs="Times New Roman"/>
          <w:sz w:val="24"/>
          <w:szCs w:val="24"/>
        </w:rPr>
        <w:t xml:space="preserve"> </w:t>
      </w:r>
      <w:r w:rsidRPr="00025909">
        <w:rPr>
          <w:rFonts w:ascii="Times New Roman" w:hAnsi="Times New Roman" w:cs="Times New Roman"/>
          <w:sz w:val="24"/>
          <w:szCs w:val="24"/>
        </w:rPr>
        <w:t xml:space="preserve">90). </w:t>
      </w:r>
    </w:p>
    <w:p w14:paraId="4A85D995" w14:textId="77777777" w:rsidR="00025909" w:rsidRPr="00025909" w:rsidRDefault="00025909" w:rsidP="00025909">
      <w:pPr>
        <w:jc w:val="both"/>
        <w:rPr>
          <w:rFonts w:ascii="Times New Roman" w:hAnsi="Times New Roman" w:cs="Times New Roman"/>
          <w:sz w:val="24"/>
          <w:szCs w:val="24"/>
        </w:rPr>
      </w:pPr>
    </w:p>
    <w:p w14:paraId="07904279" w14:textId="64C53044" w:rsidR="00824801" w:rsidRDefault="00025909" w:rsidP="00025909">
      <w:pPr>
        <w:jc w:val="both"/>
        <w:rPr>
          <w:rFonts w:ascii="Times New Roman" w:hAnsi="Times New Roman" w:cs="Times New Roman"/>
          <w:sz w:val="24"/>
          <w:szCs w:val="24"/>
        </w:rPr>
      </w:pPr>
      <w:r w:rsidRPr="00025909">
        <w:rPr>
          <w:rFonts w:ascii="Times New Roman" w:hAnsi="Times New Roman" w:cs="Times New Roman"/>
          <w:sz w:val="24"/>
          <w:szCs w:val="24"/>
        </w:rPr>
        <w:t xml:space="preserve">Direktiivi 2019/944 lisa 1 p-st. 1.2 g tuleneb, et lõpptarbijale esitatakse hästi märgatavalt arvel ja arvel esitatavas teabes ning muudest arve ja arvel esitatava teabe osadest selgelt eraldi teave lõpptarbija õiguste kohta, mis seonduvad vaidluste kohtuvälise lahendamisega, sh vaidluste lahendamise eest art 26 kohaselt vastutava üksuse kontaktandmed. </w:t>
      </w:r>
    </w:p>
    <w:p w14:paraId="3A62362D" w14:textId="77777777" w:rsidR="00824801" w:rsidRDefault="00824801" w:rsidP="00025909">
      <w:pPr>
        <w:jc w:val="both"/>
        <w:rPr>
          <w:rFonts w:ascii="Times New Roman" w:hAnsi="Times New Roman" w:cs="Times New Roman"/>
          <w:sz w:val="24"/>
          <w:szCs w:val="24"/>
        </w:rPr>
      </w:pPr>
    </w:p>
    <w:p w14:paraId="0BF912C8" w14:textId="4452DFD8" w:rsidR="00025909" w:rsidRPr="00025909" w:rsidRDefault="00025909" w:rsidP="00025909">
      <w:pPr>
        <w:jc w:val="both"/>
        <w:rPr>
          <w:rFonts w:ascii="Times New Roman" w:hAnsi="Times New Roman" w:cs="Times New Roman"/>
          <w:sz w:val="24"/>
          <w:szCs w:val="24"/>
        </w:rPr>
      </w:pPr>
      <w:r w:rsidRPr="00025909">
        <w:rPr>
          <w:rFonts w:ascii="Times New Roman" w:hAnsi="Times New Roman" w:cs="Times New Roman"/>
          <w:sz w:val="24"/>
          <w:szCs w:val="24"/>
        </w:rPr>
        <w:t xml:space="preserve">Art 26 lg 1 kohaselt tagavad liikmesriigid, et lõpptarbijatel on käesolevas direktiivis sätestatud õiguste ja kohustusega seotud vaidluste lahendamiseks juurdepääs lihtsale, õiglasele, läbipaistvale, sõltumatule, tõhusale ja tulemuslikule vaidluste kohtuvälise lahendamise sõltumatu mehhanismi kaudu, nt energiaombudsman või tarbijakaitseorgan, või reguleeriva asutuse kaudu. </w:t>
      </w:r>
    </w:p>
    <w:p w14:paraId="6D523A7A" w14:textId="77777777" w:rsidR="00025909" w:rsidRPr="00025909" w:rsidRDefault="00025909" w:rsidP="00025909">
      <w:pPr>
        <w:jc w:val="both"/>
        <w:rPr>
          <w:rFonts w:ascii="Times New Roman" w:hAnsi="Times New Roman" w:cs="Times New Roman"/>
          <w:sz w:val="24"/>
          <w:szCs w:val="24"/>
        </w:rPr>
      </w:pPr>
    </w:p>
    <w:p w14:paraId="0B630373" w14:textId="3D097188" w:rsidR="00824801" w:rsidRPr="00824801" w:rsidRDefault="00025909" w:rsidP="00025909">
      <w:pPr>
        <w:jc w:val="both"/>
        <w:rPr>
          <w:rFonts w:ascii="Times New Roman" w:hAnsi="Times New Roman" w:cs="Times New Roman"/>
          <w:sz w:val="24"/>
          <w:szCs w:val="24"/>
        </w:rPr>
      </w:pPr>
      <w:r w:rsidRPr="00824801">
        <w:rPr>
          <w:rFonts w:ascii="Times New Roman" w:hAnsi="Times New Roman" w:cs="Times New Roman"/>
          <w:sz w:val="24"/>
          <w:szCs w:val="24"/>
        </w:rPr>
        <w:t>ELTS §-s 87 käsitletavatele lepingutele kohaldatakse vastavalt</w:t>
      </w:r>
      <w:r w:rsidR="00824801" w:rsidRPr="00824801">
        <w:rPr>
          <w:rFonts w:ascii="Times New Roman" w:hAnsi="Times New Roman" w:cs="Times New Roman"/>
          <w:sz w:val="24"/>
          <w:szCs w:val="24"/>
        </w:rPr>
        <w:t xml:space="preserve"> § 85 </w:t>
      </w:r>
      <w:proofErr w:type="spellStart"/>
      <w:r w:rsidR="00824801" w:rsidRPr="00824801">
        <w:rPr>
          <w:rFonts w:ascii="Times New Roman" w:hAnsi="Times New Roman" w:cs="Times New Roman"/>
          <w:sz w:val="24"/>
          <w:szCs w:val="24"/>
        </w:rPr>
        <w:t>lg-le</w:t>
      </w:r>
      <w:proofErr w:type="spellEnd"/>
      <w:r w:rsidR="00824801" w:rsidRPr="00824801">
        <w:rPr>
          <w:rFonts w:ascii="Times New Roman" w:hAnsi="Times New Roman" w:cs="Times New Roman"/>
          <w:sz w:val="24"/>
          <w:szCs w:val="24"/>
        </w:rPr>
        <w:t xml:space="preserve"> 1 ka VÕS sätteid. Kui lepinguid sõlmitakse sidevahendi abil või väljaspool äriruume, siis peab</w:t>
      </w:r>
      <w:r w:rsidR="00007753">
        <w:rPr>
          <w:rFonts w:ascii="Times New Roman" w:hAnsi="Times New Roman" w:cs="Times New Roman"/>
          <w:sz w:val="24"/>
          <w:szCs w:val="24"/>
        </w:rPr>
        <w:t xml:space="preserve"> </w:t>
      </w:r>
      <w:hyperlink r:id="rId8" w:history="1">
        <w:r w:rsidR="00007753">
          <w:rPr>
            <w:rStyle w:val="Hperlink"/>
            <w:rFonts w:ascii="Times New Roman" w:hAnsi="Times New Roman" w:cs="Times New Roman"/>
            <w:sz w:val="24"/>
            <w:szCs w:val="24"/>
          </w:rPr>
          <w:t>VÕS</w:t>
        </w:r>
      </w:hyperlink>
      <w:r w:rsidR="00824801">
        <w:rPr>
          <w:rFonts w:ascii="Times New Roman" w:hAnsi="Times New Roman" w:cs="Times New Roman"/>
          <w:sz w:val="24"/>
          <w:szCs w:val="24"/>
        </w:rPr>
        <w:t xml:space="preserve"> § 54 lg 1 p 22 ja § 48 lg 1 p 22</w:t>
      </w:r>
      <w:r w:rsidR="00824801" w:rsidRPr="00824801">
        <w:rPr>
          <w:rFonts w:ascii="Times New Roman" w:hAnsi="Times New Roman" w:cs="Times New Roman"/>
          <w:sz w:val="24"/>
          <w:szCs w:val="24"/>
        </w:rPr>
        <w:t xml:space="preserve"> </w:t>
      </w:r>
      <w:r w:rsidR="00824801">
        <w:rPr>
          <w:rFonts w:ascii="Times New Roman" w:hAnsi="Times New Roman" w:cs="Times New Roman"/>
          <w:sz w:val="24"/>
          <w:szCs w:val="24"/>
        </w:rPr>
        <w:t xml:space="preserve">kohaselt </w:t>
      </w:r>
      <w:r w:rsidR="00824801" w:rsidRPr="00824801">
        <w:rPr>
          <w:rFonts w:ascii="Times New Roman" w:hAnsi="Times New Roman" w:cs="Times New Roman"/>
          <w:sz w:val="24"/>
          <w:szCs w:val="24"/>
        </w:rPr>
        <w:t>lepingueelne teave sisaldama ka andmeid tarbija võimaluste kohta pöörduda kohtuvälise kaebusi ja vaidlusi lahendava organi poole ning pöördumis</w:t>
      </w:r>
      <w:r w:rsidR="00EB01F1">
        <w:rPr>
          <w:rFonts w:ascii="Times New Roman" w:hAnsi="Times New Roman" w:cs="Times New Roman"/>
          <w:sz w:val="24"/>
          <w:szCs w:val="24"/>
        </w:rPr>
        <w:t>e</w:t>
      </w:r>
      <w:r w:rsidR="00824801" w:rsidRPr="00824801">
        <w:rPr>
          <w:rFonts w:ascii="Times New Roman" w:hAnsi="Times New Roman" w:cs="Times New Roman"/>
          <w:sz w:val="24"/>
          <w:szCs w:val="24"/>
        </w:rPr>
        <w:t xml:space="preserve"> tingimusi, mistõttu üldiselt</w:t>
      </w:r>
      <w:r w:rsidR="00824801">
        <w:rPr>
          <w:rFonts w:ascii="Times New Roman" w:hAnsi="Times New Roman" w:cs="Times New Roman"/>
          <w:sz w:val="24"/>
          <w:szCs w:val="24"/>
        </w:rPr>
        <w:t xml:space="preserve"> on kauplejate</w:t>
      </w:r>
      <w:r w:rsidR="00824801" w:rsidRPr="00824801">
        <w:rPr>
          <w:rFonts w:ascii="Times New Roman" w:hAnsi="Times New Roman" w:cs="Times New Roman"/>
          <w:sz w:val="24"/>
          <w:szCs w:val="24"/>
        </w:rPr>
        <w:t xml:space="preserve"> tüüptingimusetes juba vastavad sätted sees. </w:t>
      </w:r>
    </w:p>
    <w:p w14:paraId="66AA253A" w14:textId="77777777" w:rsidR="00025909" w:rsidRPr="00025909" w:rsidRDefault="00025909" w:rsidP="00025909">
      <w:pPr>
        <w:jc w:val="both"/>
        <w:rPr>
          <w:rFonts w:ascii="Times New Roman" w:hAnsi="Times New Roman" w:cs="Times New Roman"/>
          <w:sz w:val="24"/>
          <w:szCs w:val="24"/>
        </w:rPr>
      </w:pPr>
    </w:p>
    <w:p w14:paraId="0DD4F1B6" w14:textId="468E08B4" w:rsidR="00824801" w:rsidRDefault="00025909" w:rsidP="00025909">
      <w:pPr>
        <w:jc w:val="both"/>
        <w:rPr>
          <w:rFonts w:ascii="Times New Roman" w:hAnsi="Times New Roman" w:cs="Times New Roman"/>
          <w:sz w:val="24"/>
          <w:szCs w:val="24"/>
        </w:rPr>
      </w:pPr>
      <w:r w:rsidRPr="00025909">
        <w:rPr>
          <w:rFonts w:ascii="Times New Roman" w:hAnsi="Times New Roman" w:cs="Times New Roman"/>
          <w:sz w:val="24"/>
          <w:szCs w:val="24"/>
        </w:rPr>
        <w:t>Kuna direktiiviga nähakse ette vaidluste lahendamine peamiselt küsimustes, mis reguleeritakse ELTS-</w:t>
      </w:r>
      <w:proofErr w:type="spellStart"/>
      <w:r w:rsidRPr="00025909">
        <w:rPr>
          <w:rFonts w:ascii="Times New Roman" w:hAnsi="Times New Roman" w:cs="Times New Roman"/>
          <w:sz w:val="24"/>
          <w:szCs w:val="24"/>
        </w:rPr>
        <w:t>is</w:t>
      </w:r>
      <w:proofErr w:type="spellEnd"/>
      <w:r w:rsidRPr="00025909">
        <w:rPr>
          <w:rFonts w:ascii="Times New Roman" w:hAnsi="Times New Roman" w:cs="Times New Roman"/>
          <w:sz w:val="24"/>
          <w:szCs w:val="24"/>
        </w:rPr>
        <w:t xml:space="preserve">, siis oleks </w:t>
      </w:r>
      <w:r w:rsidR="00824801">
        <w:rPr>
          <w:rFonts w:ascii="Times New Roman" w:hAnsi="Times New Roman" w:cs="Times New Roman"/>
          <w:sz w:val="24"/>
          <w:szCs w:val="24"/>
        </w:rPr>
        <w:t xml:space="preserve">antud juhul </w:t>
      </w:r>
      <w:r w:rsidRPr="00025909">
        <w:rPr>
          <w:rFonts w:ascii="Times New Roman" w:hAnsi="Times New Roman" w:cs="Times New Roman"/>
          <w:sz w:val="24"/>
          <w:szCs w:val="24"/>
        </w:rPr>
        <w:t xml:space="preserve">kohane viidata Konkurentsiameti kaebuste lahendamise korrale. </w:t>
      </w:r>
    </w:p>
    <w:p w14:paraId="1DEC39D8" w14:textId="77777777" w:rsidR="00824801" w:rsidRDefault="00824801" w:rsidP="00025909">
      <w:pPr>
        <w:jc w:val="both"/>
        <w:rPr>
          <w:rFonts w:ascii="Times New Roman" w:hAnsi="Times New Roman" w:cs="Times New Roman"/>
          <w:sz w:val="24"/>
          <w:szCs w:val="24"/>
        </w:rPr>
      </w:pPr>
    </w:p>
    <w:p w14:paraId="28630607" w14:textId="0D34EC06" w:rsidR="00025909" w:rsidRPr="00824801" w:rsidRDefault="00824801" w:rsidP="00025909">
      <w:pPr>
        <w:jc w:val="both"/>
        <w:rPr>
          <w:rFonts w:ascii="Times New Roman" w:hAnsi="Times New Roman" w:cs="Times New Roman"/>
          <w:sz w:val="24"/>
          <w:szCs w:val="24"/>
        </w:rPr>
      </w:pPr>
      <w:r w:rsidRPr="0081429D">
        <w:rPr>
          <w:rFonts w:ascii="Times New Roman" w:hAnsi="Times New Roman" w:cs="Times New Roman"/>
          <w:sz w:val="24"/>
          <w:szCs w:val="24"/>
        </w:rPr>
        <w:t>Kokkuvõttes peaks lepingus sisalduma viide mõlemale institutsioonile</w:t>
      </w:r>
      <w:r w:rsidR="00097699" w:rsidRPr="0081429D">
        <w:rPr>
          <w:rFonts w:ascii="Times New Roman" w:hAnsi="Times New Roman" w:cs="Times New Roman"/>
          <w:sz w:val="24"/>
          <w:szCs w:val="24"/>
        </w:rPr>
        <w:t>. V</w:t>
      </w:r>
      <w:r w:rsidR="00025909" w:rsidRPr="0081429D">
        <w:rPr>
          <w:rFonts w:ascii="Times New Roman" w:hAnsi="Times New Roman" w:cs="Times New Roman"/>
          <w:color w:val="202020"/>
          <w:sz w:val="24"/>
          <w:szCs w:val="24"/>
          <w:shd w:val="clear" w:color="auto" w:fill="FFFFFF"/>
        </w:rPr>
        <w:t xml:space="preserve">iide tarbijavaidluste komisjonile </w:t>
      </w:r>
      <w:r w:rsidR="00097699" w:rsidRPr="0081429D">
        <w:rPr>
          <w:rFonts w:ascii="Times New Roman" w:hAnsi="Times New Roman" w:cs="Times New Roman"/>
          <w:color w:val="202020"/>
          <w:sz w:val="24"/>
          <w:szCs w:val="24"/>
          <w:shd w:val="clear" w:color="auto" w:fill="FFFFFF"/>
        </w:rPr>
        <w:t>peaks</w:t>
      </w:r>
      <w:r w:rsidR="00025909" w:rsidRPr="0081429D">
        <w:rPr>
          <w:rFonts w:ascii="Times New Roman" w:hAnsi="Times New Roman" w:cs="Times New Roman"/>
          <w:color w:val="202020"/>
          <w:sz w:val="24"/>
          <w:szCs w:val="24"/>
          <w:shd w:val="clear" w:color="auto" w:fill="FFFFFF"/>
        </w:rPr>
        <w:t xml:space="preserve"> lepingu tingimustes</w:t>
      </w:r>
      <w:r w:rsidR="00097699" w:rsidRPr="0081429D">
        <w:rPr>
          <w:rFonts w:ascii="Times New Roman" w:hAnsi="Times New Roman" w:cs="Times New Roman"/>
          <w:color w:val="202020"/>
          <w:sz w:val="24"/>
          <w:szCs w:val="24"/>
          <w:shd w:val="clear" w:color="auto" w:fill="FFFFFF"/>
        </w:rPr>
        <w:t xml:space="preserve"> olemas olema juba VÕS sätestatud nõuetest</w:t>
      </w:r>
      <w:r w:rsidR="00025909" w:rsidRPr="0081429D">
        <w:rPr>
          <w:rFonts w:ascii="Times New Roman" w:hAnsi="Times New Roman" w:cs="Times New Roman"/>
          <w:color w:val="202020"/>
          <w:sz w:val="24"/>
          <w:szCs w:val="24"/>
          <w:shd w:val="clear" w:color="auto" w:fill="FFFFFF"/>
        </w:rPr>
        <w:t xml:space="preserve"> </w:t>
      </w:r>
      <w:r w:rsidR="00097699" w:rsidRPr="0081429D">
        <w:rPr>
          <w:rFonts w:ascii="Times New Roman" w:hAnsi="Times New Roman" w:cs="Times New Roman"/>
          <w:color w:val="202020"/>
          <w:sz w:val="24"/>
          <w:szCs w:val="24"/>
          <w:shd w:val="clear" w:color="auto" w:fill="FFFFFF"/>
        </w:rPr>
        <w:t xml:space="preserve">tulenevalt, kuid selguse huvides ja võttes arvesse, et </w:t>
      </w:r>
      <w:r w:rsidR="00025909" w:rsidRPr="0081429D">
        <w:rPr>
          <w:rFonts w:ascii="Times New Roman" w:hAnsi="Times New Roman" w:cs="Times New Roman"/>
          <w:color w:val="202020"/>
          <w:sz w:val="24"/>
          <w:szCs w:val="24"/>
          <w:shd w:val="clear" w:color="auto" w:fill="FFFFFF"/>
        </w:rPr>
        <w:t xml:space="preserve">ELTS alusel lahendab kaebusi </w:t>
      </w:r>
      <w:r w:rsidR="00097699" w:rsidRPr="0081429D">
        <w:rPr>
          <w:rFonts w:ascii="Times New Roman" w:hAnsi="Times New Roman" w:cs="Times New Roman"/>
          <w:color w:val="202020"/>
          <w:sz w:val="24"/>
          <w:szCs w:val="24"/>
          <w:shd w:val="clear" w:color="auto" w:fill="FFFFFF"/>
        </w:rPr>
        <w:t xml:space="preserve">ka </w:t>
      </w:r>
      <w:r w:rsidR="00025909" w:rsidRPr="0081429D">
        <w:rPr>
          <w:rFonts w:ascii="Times New Roman" w:hAnsi="Times New Roman" w:cs="Times New Roman"/>
          <w:color w:val="202020"/>
          <w:sz w:val="24"/>
          <w:szCs w:val="24"/>
          <w:shd w:val="clear" w:color="auto" w:fill="FFFFFF"/>
        </w:rPr>
        <w:t>Konkurentsiamet,</w:t>
      </w:r>
      <w:r w:rsidR="0081429D" w:rsidRPr="0081429D">
        <w:rPr>
          <w:rFonts w:ascii="Times New Roman" w:hAnsi="Times New Roman" w:cs="Times New Roman"/>
          <w:color w:val="202020"/>
          <w:sz w:val="24"/>
          <w:szCs w:val="24"/>
          <w:shd w:val="clear" w:color="auto" w:fill="FFFFFF"/>
        </w:rPr>
        <w:t xml:space="preserve"> </w:t>
      </w:r>
      <w:r w:rsidR="00025909" w:rsidRPr="0081429D">
        <w:rPr>
          <w:rFonts w:ascii="Times New Roman" w:hAnsi="Times New Roman" w:cs="Times New Roman"/>
          <w:color w:val="202020"/>
          <w:sz w:val="24"/>
          <w:szCs w:val="24"/>
          <w:shd w:val="clear" w:color="auto" w:fill="FFFFFF"/>
        </w:rPr>
        <w:t xml:space="preserve">teeb TTJA ettepaneku sõnastada ELTS § 87 lg 1 p 9 järgmiselt: „teave kaebuste käsitlemise </w:t>
      </w:r>
      <w:r w:rsidR="00025909" w:rsidRPr="0081429D">
        <w:rPr>
          <w:rFonts w:ascii="Times New Roman" w:hAnsi="Times New Roman" w:cs="Times New Roman"/>
          <w:color w:val="202020"/>
          <w:sz w:val="24"/>
          <w:szCs w:val="24"/>
          <w:shd w:val="clear" w:color="auto" w:fill="FFFFFF"/>
        </w:rPr>
        <w:lastRenderedPageBreak/>
        <w:t xml:space="preserve">kohta, </w:t>
      </w:r>
      <w:r w:rsidR="0081429D" w:rsidRPr="0081429D">
        <w:rPr>
          <w:rFonts w:ascii="Times New Roman" w:hAnsi="Times New Roman" w:cs="Times New Roman"/>
          <w:bCs/>
          <w:color w:val="202020"/>
          <w:sz w:val="24"/>
          <w:szCs w:val="24"/>
          <w:shd w:val="clear" w:color="auto" w:fill="FFFFFF"/>
        </w:rPr>
        <w:t>sealhulgas teave tarbija õiguste kohta, mis seonduvad vaidluse kohtuvälise lahendamisega vastavalt tarbijakaitse seadusele</w:t>
      </w:r>
      <w:r w:rsidR="0081429D" w:rsidRPr="0081429D">
        <w:rPr>
          <w:rFonts w:ascii="Times New Roman" w:hAnsi="Times New Roman" w:cs="Times New Roman"/>
          <w:color w:val="202020"/>
          <w:sz w:val="24"/>
          <w:szCs w:val="24"/>
          <w:shd w:val="clear" w:color="auto" w:fill="FFFFFF"/>
        </w:rPr>
        <w:t xml:space="preserve"> ning</w:t>
      </w:r>
      <w:r w:rsidR="00025909" w:rsidRPr="0081429D">
        <w:rPr>
          <w:rFonts w:ascii="Times New Roman" w:hAnsi="Times New Roman" w:cs="Times New Roman"/>
          <w:color w:val="202020"/>
          <w:sz w:val="24"/>
          <w:szCs w:val="24"/>
          <w:shd w:val="clear" w:color="auto" w:fill="FFFFFF"/>
        </w:rPr>
        <w:t xml:space="preserve"> õiguse kohta pöörduda kaebusega käesoleva seaduse §-s 99 sätestatud juhtudel Konkurentsiameti poole“.</w:t>
      </w:r>
      <w:r w:rsidR="00025909" w:rsidRPr="00025909">
        <w:rPr>
          <w:rFonts w:ascii="Times New Roman" w:hAnsi="Times New Roman" w:cs="Times New Roman"/>
          <w:color w:val="202020"/>
          <w:sz w:val="24"/>
          <w:szCs w:val="24"/>
          <w:shd w:val="clear" w:color="auto" w:fill="FFFFFF"/>
        </w:rPr>
        <w:t xml:space="preserve"> </w:t>
      </w:r>
    </w:p>
    <w:p w14:paraId="79EAF9DB" w14:textId="77777777" w:rsidR="00025909" w:rsidRPr="00025909" w:rsidRDefault="00025909" w:rsidP="00025909">
      <w:pPr>
        <w:jc w:val="both"/>
        <w:rPr>
          <w:rFonts w:ascii="Times New Roman" w:hAnsi="Times New Roman" w:cs="Times New Roman"/>
          <w:sz w:val="24"/>
          <w:szCs w:val="24"/>
        </w:rPr>
      </w:pPr>
    </w:p>
    <w:p w14:paraId="3F337A86" w14:textId="43642330" w:rsidR="00025909" w:rsidRPr="00007753" w:rsidRDefault="00025909" w:rsidP="00257CF1">
      <w:pPr>
        <w:pStyle w:val="Loendilik"/>
        <w:numPr>
          <w:ilvl w:val="0"/>
          <w:numId w:val="1"/>
        </w:numPr>
        <w:jc w:val="both"/>
        <w:rPr>
          <w:rFonts w:ascii="Times New Roman" w:hAnsi="Times New Roman" w:cs="Times New Roman"/>
          <w:sz w:val="24"/>
          <w:szCs w:val="24"/>
        </w:rPr>
      </w:pPr>
      <w:r w:rsidRPr="00007753">
        <w:rPr>
          <w:rFonts w:ascii="Times New Roman" w:hAnsi="Times New Roman" w:cs="Times New Roman"/>
          <w:b/>
          <w:bCs/>
          <w:sz w:val="24"/>
          <w:szCs w:val="24"/>
        </w:rPr>
        <w:t xml:space="preserve">p. 37 </w:t>
      </w:r>
    </w:p>
    <w:p w14:paraId="5AA3DA36" w14:textId="77777777" w:rsidR="00007753" w:rsidRPr="00007753" w:rsidRDefault="00007753" w:rsidP="00007753">
      <w:pPr>
        <w:ind w:left="360"/>
        <w:jc w:val="both"/>
        <w:rPr>
          <w:rFonts w:ascii="Times New Roman" w:hAnsi="Times New Roman" w:cs="Times New Roman"/>
          <w:sz w:val="24"/>
          <w:szCs w:val="24"/>
        </w:rPr>
      </w:pPr>
    </w:p>
    <w:p w14:paraId="76005BFE" w14:textId="77777777" w:rsidR="00007753" w:rsidRPr="00007753" w:rsidRDefault="00007753" w:rsidP="00007753">
      <w:pPr>
        <w:rPr>
          <w:rFonts w:ascii="Times New Roman" w:hAnsi="Times New Roman" w:cs="Times New Roman"/>
          <w:bCs/>
          <w:sz w:val="24"/>
          <w:szCs w:val="24"/>
        </w:rPr>
      </w:pPr>
      <w:r w:rsidRPr="00007753">
        <w:rPr>
          <w:rFonts w:ascii="Times New Roman" w:hAnsi="Times New Roman" w:cs="Times New Roman"/>
          <w:b/>
          <w:sz w:val="24"/>
          <w:szCs w:val="24"/>
        </w:rPr>
        <w:t>37)</w:t>
      </w:r>
      <w:r w:rsidRPr="00007753">
        <w:rPr>
          <w:rFonts w:ascii="Times New Roman" w:hAnsi="Times New Roman" w:cs="Times New Roman"/>
          <w:bCs/>
          <w:sz w:val="24"/>
          <w:szCs w:val="24"/>
        </w:rPr>
        <w:t xml:space="preserve"> paragrahvi 87 täiendatakse lõikega 1</w:t>
      </w:r>
      <w:r w:rsidRPr="00007753">
        <w:rPr>
          <w:rFonts w:ascii="Times New Roman" w:hAnsi="Times New Roman" w:cs="Times New Roman"/>
          <w:bCs/>
          <w:sz w:val="24"/>
          <w:szCs w:val="24"/>
          <w:vertAlign w:val="superscript"/>
        </w:rPr>
        <w:t>1</w:t>
      </w:r>
      <w:r w:rsidRPr="00007753">
        <w:rPr>
          <w:rFonts w:ascii="Times New Roman" w:hAnsi="Times New Roman" w:cs="Times New Roman"/>
          <w:bCs/>
          <w:sz w:val="24"/>
          <w:szCs w:val="24"/>
        </w:rPr>
        <w:t xml:space="preserve"> järgmises sõnastuses:</w:t>
      </w:r>
    </w:p>
    <w:p w14:paraId="06D61B5C" w14:textId="7C3E58B2" w:rsidR="00007753" w:rsidRPr="00007753" w:rsidRDefault="00007753" w:rsidP="00007753">
      <w:pPr>
        <w:rPr>
          <w:rFonts w:ascii="Times New Roman" w:hAnsi="Times New Roman" w:cs="Times New Roman"/>
          <w:bCs/>
          <w:sz w:val="24"/>
          <w:szCs w:val="24"/>
        </w:rPr>
      </w:pPr>
      <w:r w:rsidRPr="00007753">
        <w:rPr>
          <w:rFonts w:ascii="Times New Roman" w:hAnsi="Times New Roman" w:cs="Times New Roman"/>
          <w:bCs/>
          <w:sz w:val="24"/>
          <w:szCs w:val="24"/>
        </w:rPr>
        <w:t>„(1</w:t>
      </w:r>
      <w:r w:rsidRPr="00007753">
        <w:rPr>
          <w:rFonts w:ascii="Times New Roman" w:hAnsi="Times New Roman" w:cs="Times New Roman"/>
          <w:bCs/>
          <w:sz w:val="24"/>
          <w:szCs w:val="24"/>
          <w:vertAlign w:val="superscript"/>
        </w:rPr>
        <w:t>1</w:t>
      </w:r>
      <w:r w:rsidRPr="00007753">
        <w:rPr>
          <w:rFonts w:ascii="Times New Roman" w:hAnsi="Times New Roman" w:cs="Times New Roman"/>
          <w:bCs/>
          <w:sz w:val="24"/>
          <w:szCs w:val="24"/>
        </w:rPr>
        <w:t xml:space="preserve">) </w:t>
      </w:r>
      <w:bookmarkStart w:id="1" w:name="_Hlk158638383"/>
      <w:r w:rsidRPr="00007753">
        <w:rPr>
          <w:rFonts w:ascii="Times New Roman" w:hAnsi="Times New Roman" w:cs="Times New Roman"/>
          <w:bCs/>
          <w:sz w:val="24"/>
          <w:szCs w:val="24"/>
        </w:rPr>
        <w:t>Elektrimüüja teeb tarbijale kättesaadavaks lihtsas ja täpses sõnastuses kokkuvõtte käesoleva paragrahvi lõikes 1 nimetatud lepingutingimustest</w:t>
      </w:r>
      <w:bookmarkEnd w:id="1"/>
      <w:r w:rsidRPr="00007753">
        <w:rPr>
          <w:rFonts w:ascii="Times New Roman" w:hAnsi="Times New Roman" w:cs="Times New Roman"/>
          <w:bCs/>
          <w:sz w:val="24"/>
          <w:szCs w:val="24"/>
        </w:rPr>
        <w:t>.“</w:t>
      </w:r>
    </w:p>
    <w:p w14:paraId="372B817A" w14:textId="77777777" w:rsidR="00007753" w:rsidRPr="00007753" w:rsidRDefault="00007753" w:rsidP="0081429D">
      <w:pPr>
        <w:jc w:val="both"/>
        <w:rPr>
          <w:rFonts w:ascii="Times New Roman" w:hAnsi="Times New Roman" w:cs="Times New Roman"/>
          <w:sz w:val="24"/>
          <w:szCs w:val="24"/>
        </w:rPr>
      </w:pPr>
    </w:p>
    <w:p w14:paraId="34F049BC" w14:textId="5F14411B" w:rsidR="00025909" w:rsidRPr="00025909" w:rsidRDefault="00007753" w:rsidP="00025909">
      <w:pPr>
        <w:jc w:val="both"/>
        <w:rPr>
          <w:rFonts w:ascii="Times New Roman" w:hAnsi="Times New Roman" w:cs="Times New Roman"/>
          <w:sz w:val="24"/>
          <w:szCs w:val="24"/>
        </w:rPr>
      </w:pPr>
      <w:r>
        <w:rPr>
          <w:rFonts w:ascii="Times New Roman" w:hAnsi="Times New Roman" w:cs="Times New Roman"/>
          <w:sz w:val="24"/>
          <w:szCs w:val="24"/>
        </w:rPr>
        <w:t>L</w:t>
      </w:r>
      <w:r w:rsidR="00025909" w:rsidRPr="00025909">
        <w:rPr>
          <w:rFonts w:ascii="Times New Roman" w:hAnsi="Times New Roman" w:cs="Times New Roman"/>
          <w:sz w:val="24"/>
          <w:szCs w:val="24"/>
        </w:rPr>
        <w:t xml:space="preserve">epingu kokkuvõte on praktikas tarbijate jaoks kasulik, et saada kokkuvõtlik ülevaade lepingu olulisematest tingimustest ja vajadusel võrrelda erinevate </w:t>
      </w:r>
      <w:r w:rsidR="0081429D">
        <w:rPr>
          <w:rFonts w:ascii="Times New Roman" w:hAnsi="Times New Roman" w:cs="Times New Roman"/>
          <w:sz w:val="24"/>
          <w:szCs w:val="24"/>
        </w:rPr>
        <w:t>müüjate</w:t>
      </w:r>
      <w:r w:rsidR="00025909" w:rsidRPr="00025909">
        <w:rPr>
          <w:rFonts w:ascii="Times New Roman" w:hAnsi="Times New Roman" w:cs="Times New Roman"/>
          <w:sz w:val="24"/>
          <w:szCs w:val="24"/>
        </w:rPr>
        <w:t xml:space="preserve"> pakkumisi, kuid see peaks olema suhteliselt lühike.</w:t>
      </w:r>
      <w:r w:rsidR="0081429D">
        <w:rPr>
          <w:rFonts w:ascii="Times New Roman" w:hAnsi="Times New Roman" w:cs="Times New Roman"/>
          <w:sz w:val="24"/>
          <w:szCs w:val="24"/>
        </w:rPr>
        <w:t xml:space="preserve"> </w:t>
      </w:r>
      <w:r w:rsidR="00553787">
        <w:rPr>
          <w:rFonts w:ascii="Times New Roman" w:hAnsi="Times New Roman" w:cs="Times New Roman"/>
          <w:sz w:val="24"/>
          <w:szCs w:val="24"/>
        </w:rPr>
        <w:t>Selleks, et konkretiseerida lihtsa ja täpse sõnastuse nõuet ning tagada vajadusel p</w:t>
      </w:r>
      <w:r w:rsidR="0081429D">
        <w:rPr>
          <w:rFonts w:ascii="Times New Roman" w:hAnsi="Times New Roman" w:cs="Times New Roman"/>
          <w:sz w:val="24"/>
          <w:szCs w:val="24"/>
        </w:rPr>
        <w:t>akkumiste võrreldavus</w:t>
      </w:r>
      <w:r w:rsidR="00553787">
        <w:rPr>
          <w:rFonts w:ascii="Times New Roman" w:hAnsi="Times New Roman" w:cs="Times New Roman"/>
          <w:sz w:val="24"/>
          <w:szCs w:val="24"/>
        </w:rPr>
        <w:t>,</w:t>
      </w:r>
      <w:r w:rsidR="0081429D">
        <w:rPr>
          <w:rFonts w:ascii="Times New Roman" w:hAnsi="Times New Roman" w:cs="Times New Roman"/>
          <w:sz w:val="24"/>
          <w:szCs w:val="24"/>
        </w:rPr>
        <w:t xml:space="preserve"> oleks hea, kui kokkuvõtte vormistamisele kehtiksid ühetaolised nõuded.</w:t>
      </w:r>
      <w:r w:rsidR="00025909" w:rsidRPr="00025909">
        <w:rPr>
          <w:rFonts w:ascii="Times New Roman" w:hAnsi="Times New Roman" w:cs="Times New Roman"/>
          <w:sz w:val="24"/>
          <w:szCs w:val="24"/>
        </w:rPr>
        <w:t xml:space="preserve"> Direktiiv 2019/944 ei reguleeri, mida peamiste lepingutingimuste kokkuvõte peab sisaldam</w:t>
      </w:r>
      <w:r w:rsidR="0081429D">
        <w:rPr>
          <w:rFonts w:ascii="Times New Roman" w:hAnsi="Times New Roman" w:cs="Times New Roman"/>
          <w:sz w:val="24"/>
          <w:szCs w:val="24"/>
        </w:rPr>
        <w:t>a. TTJA toob näitena välja, et s</w:t>
      </w:r>
      <w:r w:rsidR="00025909" w:rsidRPr="00025909">
        <w:rPr>
          <w:rFonts w:ascii="Times New Roman" w:hAnsi="Times New Roman" w:cs="Times New Roman"/>
          <w:sz w:val="24"/>
          <w:szCs w:val="24"/>
        </w:rPr>
        <w:t xml:space="preserve">ideturul reguleerib sideteenuse lepingueelse teabe ja lepingu lühikokkuvõtte esitamist </w:t>
      </w:r>
      <w:hyperlink r:id="rId9" w:history="1">
        <w:r w:rsidR="00025909" w:rsidRPr="00025909">
          <w:rPr>
            <w:rStyle w:val="Hperlink"/>
            <w:rFonts w:ascii="Times New Roman" w:hAnsi="Times New Roman" w:cs="Times New Roman"/>
            <w:sz w:val="24"/>
            <w:szCs w:val="24"/>
          </w:rPr>
          <w:t>ESS</w:t>
        </w:r>
      </w:hyperlink>
      <w:r w:rsidR="00025909" w:rsidRPr="00025909">
        <w:rPr>
          <w:rFonts w:ascii="Times New Roman" w:hAnsi="Times New Roman" w:cs="Times New Roman"/>
          <w:sz w:val="24"/>
          <w:szCs w:val="24"/>
        </w:rPr>
        <w:t xml:space="preserve"> § 95</w:t>
      </w:r>
      <w:r w:rsidR="00025909" w:rsidRPr="00025909">
        <w:rPr>
          <w:rFonts w:ascii="Times New Roman" w:hAnsi="Times New Roman" w:cs="Times New Roman"/>
          <w:sz w:val="24"/>
          <w:szCs w:val="24"/>
          <w:vertAlign w:val="superscript"/>
        </w:rPr>
        <w:t xml:space="preserve">1 </w:t>
      </w:r>
      <w:proofErr w:type="spellStart"/>
      <w:r w:rsidR="00025909" w:rsidRPr="00025909">
        <w:rPr>
          <w:rFonts w:ascii="Times New Roman" w:hAnsi="Times New Roman" w:cs="Times New Roman"/>
          <w:sz w:val="24"/>
          <w:szCs w:val="24"/>
        </w:rPr>
        <w:t>lg-d</w:t>
      </w:r>
      <w:proofErr w:type="spellEnd"/>
      <w:r w:rsidR="00025909" w:rsidRPr="00025909">
        <w:rPr>
          <w:rFonts w:ascii="Times New Roman" w:hAnsi="Times New Roman" w:cs="Times New Roman"/>
          <w:sz w:val="24"/>
          <w:szCs w:val="24"/>
        </w:rPr>
        <w:t xml:space="preserve"> 1 ja 7 ning otsekohalduv </w:t>
      </w:r>
      <w:hyperlink r:id="rId10" w:history="1">
        <w:r w:rsidR="00025909" w:rsidRPr="00025909">
          <w:rPr>
            <w:rStyle w:val="Hperlink"/>
            <w:rFonts w:ascii="Times New Roman" w:hAnsi="Times New Roman" w:cs="Times New Roman"/>
            <w:sz w:val="24"/>
            <w:szCs w:val="24"/>
          </w:rPr>
          <w:t>komisjoni rakendusmäärus 2019/2243</w:t>
        </w:r>
      </w:hyperlink>
      <w:r w:rsidR="00025909" w:rsidRPr="00025909">
        <w:rPr>
          <w:rFonts w:ascii="Times New Roman" w:hAnsi="Times New Roman" w:cs="Times New Roman"/>
          <w:sz w:val="24"/>
          <w:szCs w:val="24"/>
        </w:rPr>
        <w:t>, mis näeb ka ette täpse vormi.</w:t>
      </w:r>
      <w:r w:rsidR="00553787">
        <w:rPr>
          <w:rFonts w:ascii="Times New Roman" w:hAnsi="Times New Roman" w:cs="Times New Roman"/>
          <w:sz w:val="24"/>
          <w:szCs w:val="24"/>
        </w:rPr>
        <w:t xml:space="preserve"> TTJA leiab, et</w:t>
      </w:r>
      <w:r w:rsidR="00025909" w:rsidRPr="00025909">
        <w:rPr>
          <w:rFonts w:ascii="Times New Roman" w:hAnsi="Times New Roman" w:cs="Times New Roman"/>
          <w:sz w:val="24"/>
          <w:szCs w:val="24"/>
        </w:rPr>
        <w:t xml:space="preserve"> ELTS alusel</w:t>
      </w:r>
      <w:r w:rsidR="00553787">
        <w:rPr>
          <w:rFonts w:ascii="Times New Roman" w:hAnsi="Times New Roman" w:cs="Times New Roman"/>
          <w:sz w:val="24"/>
          <w:szCs w:val="24"/>
        </w:rPr>
        <w:t xml:space="preserve"> reguleeritava</w:t>
      </w:r>
      <w:r w:rsidR="00025909" w:rsidRPr="00025909">
        <w:rPr>
          <w:rFonts w:ascii="Times New Roman" w:hAnsi="Times New Roman" w:cs="Times New Roman"/>
          <w:sz w:val="24"/>
          <w:szCs w:val="24"/>
        </w:rPr>
        <w:t xml:space="preserve"> lepingu kokkuvõtte puhul võiks kasutada sarnast lähenemist. </w:t>
      </w:r>
    </w:p>
    <w:p w14:paraId="01499016" w14:textId="77777777" w:rsidR="00025909" w:rsidRPr="00025909" w:rsidRDefault="00025909" w:rsidP="00025909">
      <w:pPr>
        <w:jc w:val="both"/>
        <w:rPr>
          <w:rFonts w:ascii="Times New Roman" w:hAnsi="Times New Roman" w:cs="Times New Roman"/>
          <w:sz w:val="24"/>
          <w:szCs w:val="24"/>
        </w:rPr>
      </w:pPr>
    </w:p>
    <w:p w14:paraId="7E2946D9" w14:textId="277F15AA" w:rsidR="00025909" w:rsidRPr="00025909" w:rsidRDefault="00025909" w:rsidP="00025909">
      <w:pPr>
        <w:pStyle w:val="Loendilik"/>
        <w:numPr>
          <w:ilvl w:val="0"/>
          <w:numId w:val="1"/>
        </w:numPr>
        <w:jc w:val="both"/>
        <w:rPr>
          <w:rFonts w:ascii="Times New Roman" w:hAnsi="Times New Roman" w:cs="Times New Roman"/>
          <w:b/>
          <w:bCs/>
          <w:sz w:val="24"/>
          <w:szCs w:val="24"/>
        </w:rPr>
      </w:pPr>
      <w:r w:rsidRPr="00025909">
        <w:rPr>
          <w:rFonts w:ascii="Times New Roman" w:hAnsi="Times New Roman" w:cs="Times New Roman"/>
          <w:b/>
          <w:bCs/>
          <w:sz w:val="24"/>
          <w:szCs w:val="24"/>
        </w:rPr>
        <w:t xml:space="preserve">Kodutarbijatega sõlmitava tähtajalise elektrilepingu tähtaja reguleerimine </w:t>
      </w:r>
    </w:p>
    <w:p w14:paraId="108FEF24" w14:textId="77777777" w:rsidR="00025909" w:rsidRPr="00025909" w:rsidRDefault="00025909" w:rsidP="00025909">
      <w:pPr>
        <w:jc w:val="both"/>
        <w:rPr>
          <w:rFonts w:ascii="Times New Roman" w:hAnsi="Times New Roman" w:cs="Times New Roman"/>
          <w:sz w:val="24"/>
          <w:szCs w:val="24"/>
        </w:rPr>
      </w:pPr>
    </w:p>
    <w:p w14:paraId="7CD60447" w14:textId="18C34927" w:rsidR="00025909" w:rsidRPr="00025909" w:rsidRDefault="00025909" w:rsidP="00025909">
      <w:pPr>
        <w:jc w:val="both"/>
        <w:rPr>
          <w:rFonts w:ascii="Times New Roman" w:hAnsi="Times New Roman" w:cs="Times New Roman"/>
          <w:sz w:val="24"/>
          <w:szCs w:val="24"/>
        </w:rPr>
      </w:pPr>
      <w:r w:rsidRPr="00025909">
        <w:rPr>
          <w:rFonts w:ascii="Times New Roman" w:hAnsi="Times New Roman" w:cs="Times New Roman"/>
          <w:sz w:val="24"/>
          <w:szCs w:val="24"/>
        </w:rPr>
        <w:t>Praktikas sõlmitakse tähtajalisi ennetähtaegse lõpetamise tasuga elektrilepinguid kuni 7 aastase tähtajaga. Liiga pika tähtajaga elektrilepingud seovad tarbijaid elektrimüüjaga ebamõistlikult pikaks ajaks,</w:t>
      </w:r>
      <w:r w:rsidR="005C1B92">
        <w:rPr>
          <w:rFonts w:ascii="Times New Roman" w:hAnsi="Times New Roman" w:cs="Times New Roman"/>
          <w:sz w:val="24"/>
          <w:szCs w:val="24"/>
        </w:rPr>
        <w:t xml:space="preserve"> kuivõrd </w:t>
      </w:r>
      <w:r w:rsidRPr="00025909">
        <w:rPr>
          <w:rFonts w:ascii="Times New Roman" w:hAnsi="Times New Roman" w:cs="Times New Roman"/>
          <w:sz w:val="24"/>
          <w:szCs w:val="24"/>
        </w:rPr>
        <w:t>nii pika aja kohta on võimatu prognoosida elektriturul toimuvat, samuti tarbijal endal oma elukorralduses. Kui elektrihind peaks taastuvenergia kasutuselevõtu tõttu alanema, on tarbijal ebamõistlik siduda end nii pika tähtajaga elektrilepinguga. Lisaks, tarbijatel endal võib tulla elukorralduses muudatusi, mida ei osa</w:t>
      </w:r>
      <w:r w:rsidR="006B2B54">
        <w:rPr>
          <w:rFonts w:ascii="Times New Roman" w:hAnsi="Times New Roman" w:cs="Times New Roman"/>
          <w:sz w:val="24"/>
          <w:szCs w:val="24"/>
        </w:rPr>
        <w:t>ta</w:t>
      </w:r>
      <w:r w:rsidRPr="00025909">
        <w:rPr>
          <w:rFonts w:ascii="Times New Roman" w:hAnsi="Times New Roman" w:cs="Times New Roman"/>
          <w:sz w:val="24"/>
          <w:szCs w:val="24"/>
        </w:rPr>
        <w:t xml:space="preserve"> lepingu sõlmimisel prognoosida, nt ootamatu vajadus üürilepingu lõpetamiseks või elukoha müügiks, kuid öeldes lepingu lõpetamise tasuga elektrilepingu ennetähtaegselt üles, tuleb tarbijal maksta elektrimüüjale lepingu ennetähtaegse lõpetamise tasu, mille summad küündivad praktikas 1700 euroni. Pikaajalised tähtajalised elektrilepingud takistavad tarbijatel kasutada ära konkurentsi ja vahetada elektrimüüjat. </w:t>
      </w:r>
      <w:r w:rsidRPr="006B2B54">
        <w:rPr>
          <w:rFonts w:ascii="Times New Roman" w:hAnsi="Times New Roman" w:cs="Times New Roman"/>
          <w:sz w:val="24"/>
          <w:szCs w:val="24"/>
        </w:rPr>
        <w:t>T</w:t>
      </w:r>
      <w:r w:rsidR="006B2B54">
        <w:rPr>
          <w:rFonts w:ascii="Times New Roman" w:hAnsi="Times New Roman" w:cs="Times New Roman"/>
          <w:sz w:val="24"/>
          <w:szCs w:val="24"/>
        </w:rPr>
        <w:t>TJA teeb</w:t>
      </w:r>
      <w:r w:rsidRPr="006B2B54">
        <w:rPr>
          <w:rFonts w:ascii="Times New Roman" w:hAnsi="Times New Roman" w:cs="Times New Roman"/>
          <w:sz w:val="24"/>
          <w:szCs w:val="24"/>
        </w:rPr>
        <w:t xml:space="preserve"> ettepaneku näha kodutarbijatega sõlmitavatele tähtajalistele elektrilepingutele ette maksimaal</w:t>
      </w:r>
      <w:r w:rsidR="006B2B54">
        <w:rPr>
          <w:rFonts w:ascii="Times New Roman" w:hAnsi="Times New Roman" w:cs="Times New Roman"/>
          <w:sz w:val="24"/>
          <w:szCs w:val="24"/>
        </w:rPr>
        <w:t>ne</w:t>
      </w:r>
      <w:r w:rsidRPr="006B2B54">
        <w:rPr>
          <w:rFonts w:ascii="Times New Roman" w:hAnsi="Times New Roman" w:cs="Times New Roman"/>
          <w:sz w:val="24"/>
          <w:szCs w:val="24"/>
        </w:rPr>
        <w:t xml:space="preserve"> tähta</w:t>
      </w:r>
      <w:r w:rsidR="006B2B54">
        <w:rPr>
          <w:rFonts w:ascii="Times New Roman" w:hAnsi="Times New Roman" w:cs="Times New Roman"/>
          <w:sz w:val="24"/>
          <w:szCs w:val="24"/>
        </w:rPr>
        <w:t>eg</w:t>
      </w:r>
      <w:r w:rsidRPr="006B2B54">
        <w:rPr>
          <w:rFonts w:ascii="Times New Roman" w:hAnsi="Times New Roman" w:cs="Times New Roman"/>
          <w:sz w:val="24"/>
          <w:szCs w:val="24"/>
        </w:rPr>
        <w:t xml:space="preserve"> sarnaselt sideteenuse lepingutele</w:t>
      </w:r>
      <w:r w:rsidR="006B2B54">
        <w:rPr>
          <w:rFonts w:ascii="Times New Roman" w:hAnsi="Times New Roman" w:cs="Times New Roman"/>
          <w:sz w:val="24"/>
          <w:szCs w:val="24"/>
        </w:rPr>
        <w:t>, milleks on</w:t>
      </w:r>
      <w:r w:rsidRPr="006B2B54">
        <w:rPr>
          <w:rFonts w:ascii="Times New Roman" w:hAnsi="Times New Roman" w:cs="Times New Roman"/>
          <w:sz w:val="24"/>
          <w:szCs w:val="24"/>
        </w:rPr>
        <w:t xml:space="preserve"> 2 aastat (ESS § 96 lg 6, mis on üle võetud </w:t>
      </w:r>
      <w:hyperlink r:id="rId11" w:history="1">
        <w:r w:rsidRPr="006B2B54">
          <w:rPr>
            <w:rStyle w:val="Hperlink"/>
            <w:rFonts w:ascii="Times New Roman" w:hAnsi="Times New Roman" w:cs="Times New Roman"/>
            <w:sz w:val="24"/>
            <w:szCs w:val="24"/>
          </w:rPr>
          <w:t>sidedirektiivi</w:t>
        </w:r>
      </w:hyperlink>
      <w:r w:rsidRPr="006B2B54">
        <w:rPr>
          <w:rFonts w:ascii="Times New Roman" w:hAnsi="Times New Roman" w:cs="Times New Roman"/>
          <w:sz w:val="24"/>
          <w:szCs w:val="24"/>
        </w:rPr>
        <w:t xml:space="preserve"> art 105 </w:t>
      </w:r>
      <w:proofErr w:type="spellStart"/>
      <w:r w:rsidRPr="006B2B54">
        <w:rPr>
          <w:rFonts w:ascii="Times New Roman" w:hAnsi="Times New Roman" w:cs="Times New Roman"/>
          <w:sz w:val="24"/>
          <w:szCs w:val="24"/>
        </w:rPr>
        <w:t>lg-st</w:t>
      </w:r>
      <w:proofErr w:type="spellEnd"/>
      <w:r w:rsidRPr="006B2B54">
        <w:rPr>
          <w:rFonts w:ascii="Times New Roman" w:hAnsi="Times New Roman" w:cs="Times New Roman"/>
          <w:sz w:val="24"/>
          <w:szCs w:val="24"/>
        </w:rPr>
        <w:t xml:space="preserve"> 1).</w:t>
      </w:r>
      <w:r w:rsidRPr="00025909">
        <w:rPr>
          <w:rFonts w:ascii="Times New Roman" w:hAnsi="Times New Roman" w:cs="Times New Roman"/>
          <w:sz w:val="24"/>
          <w:szCs w:val="24"/>
        </w:rPr>
        <w:t xml:space="preserve"> </w:t>
      </w:r>
    </w:p>
    <w:p w14:paraId="1C9050E5" w14:textId="77777777" w:rsidR="00E1479A" w:rsidRPr="00025909" w:rsidRDefault="00E1479A">
      <w:pPr>
        <w:rPr>
          <w:rFonts w:ascii="Times New Roman" w:hAnsi="Times New Roman" w:cs="Times New Roman"/>
          <w:sz w:val="24"/>
          <w:szCs w:val="24"/>
        </w:rPr>
      </w:pPr>
    </w:p>
    <w:sectPr w:rsidR="00E1479A" w:rsidRPr="000259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5770E"/>
    <w:multiLevelType w:val="hybridMultilevel"/>
    <w:tmpl w:val="920666B8"/>
    <w:lvl w:ilvl="0" w:tplc="F98AD212">
      <w:start w:val="1"/>
      <w:numFmt w:val="decimal"/>
      <w:lvlText w:val="%1."/>
      <w:lvlJc w:val="left"/>
      <w:pPr>
        <w:ind w:left="720" w:hanging="360"/>
      </w:pPr>
      <w:rPr>
        <w:b/>
        <w:bCs/>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1508012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09"/>
    <w:rsid w:val="00007753"/>
    <w:rsid w:val="00025909"/>
    <w:rsid w:val="00097699"/>
    <w:rsid w:val="000F7E02"/>
    <w:rsid w:val="0018179A"/>
    <w:rsid w:val="001A75B4"/>
    <w:rsid w:val="00301B65"/>
    <w:rsid w:val="003E33FE"/>
    <w:rsid w:val="004851C8"/>
    <w:rsid w:val="00553787"/>
    <w:rsid w:val="00590379"/>
    <w:rsid w:val="005C1B92"/>
    <w:rsid w:val="00633FA4"/>
    <w:rsid w:val="006B2B54"/>
    <w:rsid w:val="006C308C"/>
    <w:rsid w:val="007E1FAD"/>
    <w:rsid w:val="0081429D"/>
    <w:rsid w:val="00824801"/>
    <w:rsid w:val="00892575"/>
    <w:rsid w:val="00A10913"/>
    <w:rsid w:val="00A7543D"/>
    <w:rsid w:val="00BF4F1F"/>
    <w:rsid w:val="00BF7BC9"/>
    <w:rsid w:val="00D02643"/>
    <w:rsid w:val="00D70552"/>
    <w:rsid w:val="00D87F63"/>
    <w:rsid w:val="00E06AF9"/>
    <w:rsid w:val="00E1479A"/>
    <w:rsid w:val="00EB01F1"/>
    <w:rsid w:val="00FF47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8319"/>
  <w15:chartTrackingRefBased/>
  <w15:docId w15:val="{F2E05791-09AE-4D1F-9CD5-55E7AB69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25909"/>
    <w:pPr>
      <w:spacing w:after="0" w:line="240" w:lineRule="auto"/>
    </w:p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025909"/>
    <w:rPr>
      <w:color w:val="0563C1" w:themeColor="hyperlink"/>
      <w:u w:val="single"/>
    </w:rPr>
  </w:style>
  <w:style w:type="paragraph" w:styleId="Loendilik">
    <w:name w:val="List Paragraph"/>
    <w:basedOn w:val="Normaallaad"/>
    <w:uiPriority w:val="34"/>
    <w:qFormat/>
    <w:rsid w:val="00025909"/>
    <w:pPr>
      <w:ind w:left="720"/>
    </w:pPr>
  </w:style>
  <w:style w:type="paragraph" w:styleId="Kehatekst">
    <w:name w:val="Body Text"/>
    <w:basedOn w:val="Normaallaad"/>
    <w:link w:val="KehatekstMrk"/>
    <w:qFormat/>
    <w:rsid w:val="00025909"/>
    <w:pPr>
      <w:widowControl w:val="0"/>
      <w:spacing w:after="160" w:line="259" w:lineRule="auto"/>
      <w:jc w:val="both"/>
    </w:pPr>
    <w:rPr>
      <w:rFonts w:ascii="Times New Roman" w:eastAsiaTheme="minorEastAsia" w:hAnsi="Times New Roman"/>
      <w:kern w:val="0"/>
      <w:sz w:val="24"/>
      <w:szCs w:val="24"/>
      <w14:ligatures w14:val="none"/>
    </w:rPr>
  </w:style>
  <w:style w:type="character" w:customStyle="1" w:styleId="KehatekstMrk">
    <w:name w:val="Kehatekst Märk"/>
    <w:basedOn w:val="Liguvaikefont"/>
    <w:link w:val="Kehatekst"/>
    <w:rsid w:val="00025909"/>
    <w:rPr>
      <w:rFonts w:ascii="Times New Roman" w:eastAsiaTheme="minorEastAsia" w:hAnsi="Times New Roman"/>
      <w:kern w:val="0"/>
      <w:sz w:val="24"/>
      <w:szCs w:val="24"/>
      <w14:ligatures w14:val="none"/>
    </w:rPr>
  </w:style>
  <w:style w:type="character" w:styleId="Lahendamatamainimine">
    <w:name w:val="Unresolved Mention"/>
    <w:basedOn w:val="Liguvaikefont"/>
    <w:uiPriority w:val="99"/>
    <w:semiHidden/>
    <w:unhideWhenUsed/>
    <w:rsid w:val="00007753"/>
    <w:rPr>
      <w:color w:val="605E5C"/>
      <w:shd w:val="clear" w:color="auto" w:fill="E1DFDD"/>
    </w:rPr>
  </w:style>
  <w:style w:type="character" w:styleId="Kommentaariviide">
    <w:name w:val="annotation reference"/>
    <w:basedOn w:val="Liguvaikefont"/>
    <w:uiPriority w:val="99"/>
    <w:semiHidden/>
    <w:unhideWhenUsed/>
    <w:rsid w:val="00301B65"/>
    <w:rPr>
      <w:sz w:val="16"/>
      <w:szCs w:val="16"/>
    </w:rPr>
  </w:style>
  <w:style w:type="paragraph" w:styleId="Kommentaaritekst">
    <w:name w:val="annotation text"/>
    <w:basedOn w:val="Normaallaad"/>
    <w:link w:val="KommentaaritekstMrk"/>
    <w:uiPriority w:val="99"/>
    <w:unhideWhenUsed/>
    <w:rsid w:val="00301B65"/>
    <w:rPr>
      <w:sz w:val="20"/>
      <w:szCs w:val="20"/>
    </w:rPr>
  </w:style>
  <w:style w:type="character" w:customStyle="1" w:styleId="KommentaaritekstMrk">
    <w:name w:val="Kommentaari tekst Märk"/>
    <w:basedOn w:val="Liguvaikefont"/>
    <w:link w:val="Kommentaaritekst"/>
    <w:uiPriority w:val="99"/>
    <w:rsid w:val="00301B65"/>
    <w:rPr>
      <w:sz w:val="20"/>
      <w:szCs w:val="20"/>
    </w:rPr>
  </w:style>
  <w:style w:type="paragraph" w:styleId="Kommentaariteema">
    <w:name w:val="annotation subject"/>
    <w:basedOn w:val="Kommentaaritekst"/>
    <w:next w:val="Kommentaaritekst"/>
    <w:link w:val="KommentaariteemaMrk"/>
    <w:uiPriority w:val="99"/>
    <w:semiHidden/>
    <w:unhideWhenUsed/>
    <w:rsid w:val="00301B65"/>
    <w:rPr>
      <w:b/>
      <w:bCs/>
    </w:rPr>
  </w:style>
  <w:style w:type="character" w:customStyle="1" w:styleId="KommentaariteemaMrk">
    <w:name w:val="Kommentaari teema Märk"/>
    <w:basedOn w:val="KommentaaritekstMrk"/>
    <w:link w:val="Kommentaariteema"/>
    <w:uiPriority w:val="99"/>
    <w:semiHidden/>
    <w:rsid w:val="00301B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477833">
      <w:bodyDiv w:val="1"/>
      <w:marLeft w:val="0"/>
      <w:marRight w:val="0"/>
      <w:marTop w:val="0"/>
      <w:marBottom w:val="0"/>
      <w:divBdr>
        <w:top w:val="none" w:sz="0" w:space="0" w:color="auto"/>
        <w:left w:val="none" w:sz="0" w:space="0" w:color="auto"/>
        <w:bottom w:val="none" w:sz="0" w:space="0" w:color="auto"/>
        <w:right w:val="none" w:sz="0" w:space="0" w:color="auto"/>
      </w:divBdr>
    </w:div>
    <w:div w:id="1517692379">
      <w:bodyDiv w:val="1"/>
      <w:marLeft w:val="0"/>
      <w:marRight w:val="0"/>
      <w:marTop w:val="0"/>
      <w:marBottom w:val="0"/>
      <w:divBdr>
        <w:top w:val="none" w:sz="0" w:space="0" w:color="auto"/>
        <w:left w:val="none" w:sz="0" w:space="0" w:color="auto"/>
        <w:bottom w:val="none" w:sz="0" w:space="0" w:color="auto"/>
        <w:right w:val="none" w:sz="0" w:space="0" w:color="auto"/>
      </w:divBdr>
    </w:div>
    <w:div w:id="17597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060720231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iigikohus.ee/et/lahendid/marksonastik?marksonadObjektIds=20611203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ET/TXT/PDF/?uri=CELEX:32019L0944&amp;qid=1717413799689" TargetMode="External"/><Relationship Id="rId11" Type="http://schemas.openxmlformats.org/officeDocument/2006/relationships/hyperlink" Target="https://eur-lex.europa.eu/legal-content/ET/TXT/?uri=CELEX%3A32018L1972&amp;qid=1717428797850" TargetMode="External"/><Relationship Id="rId5" Type="http://schemas.openxmlformats.org/officeDocument/2006/relationships/hyperlink" Target="https://www.riigiteataja.ee/akt/106072023095" TargetMode="External"/><Relationship Id="rId10" Type="http://schemas.openxmlformats.org/officeDocument/2006/relationships/hyperlink" Target="https://eur-lex.europa.eu/legal-content/ET/TXT/?uri=CELEX%3A32019R2243&amp;qid=1717427836880" TargetMode="External"/><Relationship Id="rId4" Type="http://schemas.openxmlformats.org/officeDocument/2006/relationships/webSettings" Target="webSettings.xml"/><Relationship Id="rId9" Type="http://schemas.openxmlformats.org/officeDocument/2006/relationships/hyperlink" Target="https://www.riigiteataja.ee/akt/117042024003"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1501</Words>
  <Characters>8712</Characters>
  <Application>Microsoft Office Word</Application>
  <DocSecurity>0</DocSecurity>
  <Lines>72</Lines>
  <Paragraphs>20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Kädi Streff</dc:creator>
  <cp:keywords/>
  <dc:description/>
  <cp:lastModifiedBy>Helen Liiva</cp:lastModifiedBy>
  <cp:revision>8</cp:revision>
  <dcterms:created xsi:type="dcterms:W3CDTF">2024-06-04T09:53:00Z</dcterms:created>
  <dcterms:modified xsi:type="dcterms:W3CDTF">2024-06-04T12:11:00Z</dcterms:modified>
</cp:coreProperties>
</file>